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9</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rPr>
          <w:rFonts w:asciiTheme="minorEastAsia" w:hAnsiTheme="minorEastAsia" w:eastAsiaTheme="minorEastAsia"/>
          <w:b/>
          <w:sz w:val="72"/>
          <w:szCs w:val="72"/>
        </w:rPr>
      </w:pPr>
    </w:p>
    <w:p>
      <w:pPr>
        <w:widowControl/>
        <w:jc w:val="center"/>
        <w:rPr>
          <w:rFonts w:hint="eastAsia" w:eastAsia="宋体"/>
          <w:b/>
          <w:sz w:val="44"/>
          <w:szCs w:val="44"/>
          <w:lang w:eastAsia="zh-CN"/>
        </w:rPr>
      </w:pPr>
      <w:r>
        <w:rPr>
          <w:rFonts w:hint="eastAsia"/>
          <w:b/>
          <w:sz w:val="44"/>
          <w:szCs w:val="44"/>
        </w:rPr>
        <w:t>霸州</w:t>
      </w:r>
      <w:r>
        <w:rPr>
          <w:b/>
          <w:sz w:val="44"/>
          <w:szCs w:val="44"/>
        </w:rPr>
        <w:t>市</w:t>
      </w:r>
      <w:r>
        <w:rPr>
          <w:rFonts w:hint="eastAsia"/>
          <w:b/>
          <w:sz w:val="44"/>
          <w:szCs w:val="44"/>
          <w:lang w:eastAsia="zh-CN"/>
        </w:rPr>
        <w:t>农业农村局</w:t>
      </w:r>
    </w:p>
    <w:p>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b/>
          <w:sz w:val="44"/>
          <w:szCs w:val="44"/>
        </w:rPr>
        <w:t>二〇二〇年九月</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w:t>
      </w:r>
      <w:r>
        <w:rPr>
          <w:rFonts w:eastAsia="黑体"/>
          <w:sz w:val="32"/>
          <w:szCs w:val="32"/>
        </w:rPr>
        <w:t>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黑体"/>
          <w:sz w:val="32"/>
          <w:szCs w:val="32"/>
        </w:rPr>
      </w:pPr>
      <w:r>
        <w:rPr>
          <w:rFonts w:eastAsia="黑体"/>
          <w:sz w:val="32"/>
          <w:szCs w:val="32"/>
        </w:rPr>
        <w:t>第二部分   201</w:t>
      </w:r>
      <w:r>
        <w:rPr>
          <w:rFonts w:hint="eastAsia" w:eastAsia="黑体"/>
          <w:sz w:val="32"/>
          <w:szCs w:val="32"/>
        </w:rPr>
        <w:t>9</w:t>
      </w:r>
      <w:r>
        <w:rPr>
          <w:rFonts w:eastAsia="黑体"/>
          <w:sz w:val="32"/>
          <w:szCs w:val="32"/>
        </w:rPr>
        <w:t>年部门决算</w:t>
      </w:r>
      <w:r>
        <w:rPr>
          <w:rFonts w:hint="eastAsia" w:eastAsia="黑体"/>
          <w:sz w:val="32"/>
          <w:szCs w:val="32"/>
        </w:rPr>
        <w:t>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w:t>
      </w:r>
      <w:r>
        <w:rPr>
          <w:rFonts w:hint="eastAsia" w:eastAsia="仿宋_GB2312"/>
          <w:sz w:val="32"/>
          <w:szCs w:val="32"/>
        </w:rPr>
        <w:t>总体</w:t>
      </w:r>
      <w:r>
        <w:rPr>
          <w:rFonts w:eastAsia="仿宋_GB2312"/>
          <w:sz w:val="32"/>
          <w:szCs w:val="32"/>
        </w:rPr>
        <w:t>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 xml:space="preserve"> “三公”经费支出决算情况说明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名词解释</w:t>
      </w:r>
    </w:p>
    <w:p>
      <w:pPr>
        <w:widowControl/>
        <w:spacing w:line="580" w:lineRule="exact"/>
        <w:ind w:firstLine="640" w:firstLineChars="200"/>
        <w:rPr>
          <w:rFonts w:eastAsia="黑体"/>
          <w:sz w:val="32"/>
          <w:szCs w:val="32"/>
        </w:rPr>
      </w:pPr>
      <w:r>
        <w:rPr>
          <w:rFonts w:eastAsia="黑体"/>
          <w:sz w:val="32"/>
          <w:szCs w:val="32"/>
        </w:rPr>
        <w:t>第四部分</w:t>
      </w:r>
      <w:r>
        <w:rPr>
          <w:rFonts w:hint="eastAsia" w:eastAsia="黑体"/>
          <w:sz w:val="32"/>
          <w:szCs w:val="32"/>
        </w:rPr>
        <w:t xml:space="preserve">  </w:t>
      </w:r>
      <w:r>
        <w:rPr>
          <w:rFonts w:eastAsia="黑体"/>
          <w:sz w:val="32"/>
          <w:szCs w:val="32"/>
        </w:rPr>
        <w:t>201</w:t>
      </w:r>
      <w:r>
        <w:rPr>
          <w:rFonts w:hint="eastAsia" w:eastAsia="黑体"/>
          <w:sz w:val="32"/>
          <w:szCs w:val="32"/>
        </w:rPr>
        <w:t>9</w:t>
      </w:r>
      <w:r>
        <w:rPr>
          <w:rFonts w:eastAsia="黑体"/>
          <w:sz w:val="32"/>
          <w:szCs w:val="32"/>
        </w:rPr>
        <w:t>年</w:t>
      </w:r>
      <w:r>
        <w:rPr>
          <w:rFonts w:hint="eastAsia" w:eastAsia="黑体"/>
          <w:sz w:val="32"/>
          <w:szCs w:val="32"/>
        </w:rPr>
        <w:t>度</w:t>
      </w:r>
      <w:r>
        <w:rPr>
          <w:rFonts w:eastAsia="黑体"/>
          <w:sz w:val="32"/>
          <w:szCs w:val="32"/>
        </w:rPr>
        <w:t>部门决算</w:t>
      </w:r>
      <w:r>
        <w:rPr>
          <w:rFonts w:hint="eastAsia" w:eastAsia="黑体"/>
          <w:sz w:val="32"/>
          <w:szCs w:val="32"/>
        </w:rPr>
        <w:t>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
    <w:p/>
    <w:p/>
    <w:p/>
    <w:p/>
    <w:p/>
    <w:p/>
    <w:p/>
    <w:p>
      <w:pPr>
        <w:widowControl/>
        <w:jc w:val="center"/>
        <w:rPr>
          <w:rFonts w:hAnsi="宋体" w:asciiTheme="minorEastAsia" w:eastAsiaTheme="minorEastAsia"/>
          <w:color w:val="000000" w:themeColor="text1"/>
          <w:sz w:val="96"/>
          <w:szCs w:val="96"/>
        </w:rPr>
      </w:pPr>
    </w:p>
    <w:p>
      <w:pPr>
        <w:widowControl/>
        <w:jc w:val="center"/>
        <w:rPr>
          <w:rFonts w:hAnsi="宋体" w:asciiTheme="minorEastAsia" w:eastAsiaTheme="minorEastAsia"/>
          <w:color w:val="000000" w:themeColor="text1"/>
          <w:sz w:val="96"/>
          <w:szCs w:val="96"/>
        </w:rPr>
      </w:pPr>
    </w:p>
    <w:p>
      <w:pPr>
        <w:widowControl/>
        <w:jc w:val="center"/>
        <w:rPr>
          <w:rFonts w:hAnsi="宋体" w:asciiTheme="minorEastAsia" w:eastAsiaTheme="minorEastAsia"/>
          <w:color w:val="000000" w:themeColor="text1"/>
          <w:sz w:val="96"/>
          <w:szCs w:val="96"/>
        </w:rPr>
      </w:pPr>
    </w:p>
    <w:p>
      <w:pPr>
        <w:widowControl/>
        <w:jc w:val="center"/>
        <w:rPr>
          <w:rFonts w:hAnsi="宋体" w:asciiTheme="minorEastAsia" w:eastAsiaTheme="minorEastAsia"/>
          <w:color w:val="000000" w:themeColor="text1"/>
          <w:sz w:val="96"/>
          <w:szCs w:val="96"/>
        </w:rPr>
      </w:pPr>
    </w:p>
    <w:p>
      <w:pPr>
        <w:widowControl/>
        <w:jc w:val="center"/>
        <w:rPr>
          <w:color w:val="000000" w:themeColor="text1"/>
          <w:sz w:val="96"/>
          <w:szCs w:val="96"/>
        </w:rPr>
      </w:pPr>
      <w:r>
        <w:rPr>
          <w:rFonts w:hint="eastAsia" w:hAnsi="宋体" w:asciiTheme="minorEastAsia" w:eastAsiaTheme="minorEastAsia"/>
          <w:color w:val="000000" w:themeColor="text1"/>
          <w:sz w:val="96"/>
          <w:szCs w:val="96"/>
        </w:rPr>
        <w:t>第一部分  部门概况</w:t>
      </w:r>
    </w:p>
    <w:p>
      <w:pPr>
        <w:widowControl/>
        <w:jc w:val="center"/>
        <w:rPr>
          <w:color w:val="000000" w:themeColor="text1"/>
          <w:sz w:val="96"/>
          <w:szCs w:val="96"/>
        </w:rPr>
      </w:pPr>
    </w:p>
    <w:p>
      <w:pPr>
        <w:widowControl/>
        <w:jc w:val="center"/>
        <w:rPr>
          <w:color w:val="000000" w:themeColor="text1"/>
          <w:sz w:val="96"/>
          <w:szCs w:val="96"/>
        </w:rPr>
      </w:pPr>
    </w:p>
    <w:p>
      <w:pPr>
        <w:widowControl/>
        <w:jc w:val="center"/>
        <w:rPr>
          <w:color w:val="000000" w:themeColor="text1"/>
          <w:sz w:val="96"/>
          <w:szCs w:val="96"/>
        </w:rPr>
      </w:pPr>
    </w:p>
    <w:p>
      <w:pPr>
        <w:widowControl/>
        <w:jc w:val="center"/>
        <w:rPr>
          <w:color w:val="000000" w:themeColor="text1"/>
          <w:sz w:val="96"/>
          <w:szCs w:val="96"/>
        </w:rPr>
      </w:pPr>
    </w:p>
    <w:p>
      <w:pPr>
        <w:pStyle w:val="2"/>
        <w:spacing w:before="0" w:after="0" w:line="600" w:lineRule="exact"/>
        <w:ind w:firstLine="640" w:firstLineChars="200"/>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（一）研究拟定全市“三农”工作的发展战略、中长期规划。经批准后，组织实施指导全市农业综合执法。</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（二）协调推动发展全市农村社会事业、农村公共服务、农村文化、农村基础设施和乡村治理。牵头组织改善农村人居环境。指导农业行业安全生产工作。</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三）研究提出深化农村经济体制改革和巩固完善农村基本经营制度的意见。负责农民承包地的管理有关工作。负责农村集体产权制度改革，指导农村集体经济组织发展和集体资产管理工作。指导农民合作经济组织、农业社会化服务体系、新型农业经营主体建设与发展。</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四）指导全市乡村产业、农产品加工业和休闲农业发展工作。提出促进大宗农产品流通的建议，培育、保护农业品牌。发布农业农村经济信息，监测分析农业农村经济运行。承担农业统计和农业农村信息化有关工作。</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（五）负责全市种植业、畜牧业、渔业、农业机械化等农业各产业的监督管理。指导粮、棉、油、菜、水果、肉、蛋、奶、渔等农产品生产。组织构建现代农业产业体系，生产体系，指导农业标准化生产。</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（六）负责全市农产品质量安全监督管理。组织开展农产品质量安全监测、追溯、风险评估和监督抽查。</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（七）负责全市农业资源保护、开发与利用。指导农用地、渔业水域以及农业生物物种资源的保护与管理。指导设施农业、生态循环农业、节水农业发展以及农村可再生能源综合开发利用、农业生物质产业发展。</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（八）负责有关农业生产资料和农业投入品的监督管理。组织兽医医政、兽药药政药检工作，负责执业兽医和畜禽屠宰行业管理。</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（九）负责农业防灾减灾、农作物重大病虫害预测预报及防治工作。指导动植物防疫检疫体系建设，组织、监督市内动植物防疫检疫工作，依法发布疫情并组织扑灭。</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（十）推动农业科技创新体系建设。指导农技推广体系建设，组织开展-农业领域的科技成果转化和技术推广。负责农业转基因生物安全监督管理和农业植物新品种保护。</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（十一）指导新型职业农民培育、农业科技人才培养和农村实用人才培训工作。</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（十二）负责农业涉外事务，组织农业对外经济技术交流与合作。</w:t>
      </w:r>
    </w:p>
    <w:p>
      <w:pPr>
        <w:keepNext w:val="0"/>
        <w:keepLines w:val="0"/>
        <w:pageBreakBefore w:val="0"/>
        <w:widowControl w:val="0"/>
        <w:kinsoku/>
        <w:wordWrap/>
        <w:overflowPunct/>
        <w:topLinePunct w:val="0"/>
        <w:autoSpaceDE/>
        <w:autoSpaceDN/>
        <w:bidi w:val="0"/>
        <w:adjustRightInd/>
        <w:snapToGrid/>
        <w:spacing w:after="0" w:line="520" w:lineRule="exact"/>
        <w:ind w:firstLine="640" w:firstLineChars="200"/>
        <w:textAlignment w:val="auto"/>
        <w:rPr>
          <w:rFonts w:hint="eastAsia"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（十三）承办市政府和市委农村工作领导小组交办的其他事项。</w:t>
      </w:r>
    </w:p>
    <w:p>
      <w:pPr>
        <w:pStyle w:val="2"/>
        <w:spacing w:before="0" w:after="0" w:line="600" w:lineRule="exact"/>
        <w:ind w:firstLine="640" w:firstLineChars="200"/>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从决算编报单位构成看，纳入2019年度本部门决算汇编范围的独立核算单位（以下简称“单位”）共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4"/>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eastAsia="zh-CN"/>
              </w:rPr>
              <w:t>霸州市农业农村局</w:t>
            </w:r>
            <w:r>
              <w:rPr>
                <w:rFonts w:hint="eastAsia" w:ascii="仿宋_GB2312" w:eastAsia="仿宋_GB2312" w:cs="ArialUnicodeMS" w:hAnsiTheme="minorHAnsi"/>
                <w:kern w:val="0"/>
                <w:sz w:val="28"/>
                <w:szCs w:val="28"/>
              </w:rPr>
              <w:t>(本级)</w:t>
            </w:r>
          </w:p>
        </w:tc>
        <w:tc>
          <w:tcPr>
            <w:tcW w:w="244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第二部分</w:t>
      </w: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2019年部门决算</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本部门2019年度收支总计（含结转和结余）</w:t>
      </w:r>
      <w:r>
        <w:rPr>
          <w:rFonts w:hint="eastAsia" w:ascii="仿宋_GB2312" w:eastAsia="仿宋_GB2312" w:cs="DengXian-Regular"/>
          <w:sz w:val="32"/>
          <w:szCs w:val="32"/>
          <w:lang w:val="en-US" w:eastAsia="zh-CN"/>
        </w:rPr>
        <w:t>21969.52</w:t>
      </w:r>
      <w:r>
        <w:rPr>
          <w:rFonts w:hint="eastAsia" w:ascii="仿宋_GB2312" w:eastAsia="仿宋_GB2312" w:cs="DengXian-Regular"/>
          <w:sz w:val="32"/>
          <w:szCs w:val="32"/>
        </w:rPr>
        <w:t>万元。与2018年度决算相比，收支各减少</w:t>
      </w:r>
      <w:r>
        <w:rPr>
          <w:rFonts w:hint="eastAsia" w:ascii="仿宋_GB2312" w:eastAsia="仿宋_GB2312" w:cs="DengXian-Regular"/>
          <w:sz w:val="32"/>
          <w:szCs w:val="32"/>
          <w:lang w:val="en-US" w:eastAsia="zh-CN"/>
        </w:rPr>
        <w:t>43681.28</w:t>
      </w:r>
      <w:r>
        <w:rPr>
          <w:rFonts w:hint="eastAsia" w:ascii="仿宋_GB2312" w:eastAsia="仿宋_GB2312" w:cs="DengXian-Regular"/>
          <w:sz w:val="32"/>
          <w:szCs w:val="32"/>
        </w:rPr>
        <w:t>万元，下降</w:t>
      </w:r>
      <w:r>
        <w:rPr>
          <w:rFonts w:hint="eastAsia" w:ascii="仿宋_GB2312" w:eastAsia="仿宋_GB2312" w:cs="DengXian-Regular"/>
          <w:sz w:val="32"/>
          <w:szCs w:val="32"/>
          <w:lang w:val="en-US" w:eastAsia="zh-CN"/>
        </w:rPr>
        <w:t>66.5</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美丽乡村建设项目减少</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本部门2019年度本年收入合计</w:t>
      </w:r>
      <w:r>
        <w:rPr>
          <w:rFonts w:hint="eastAsia" w:ascii="仿宋_GB2312" w:eastAsia="仿宋_GB2312" w:cs="DengXian-Regular"/>
          <w:sz w:val="32"/>
          <w:szCs w:val="32"/>
          <w:lang w:val="en-US" w:eastAsia="zh-CN"/>
        </w:rPr>
        <w:t>9842.49</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9716.21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98.7</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5.6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0.05</w:t>
      </w:r>
      <w:r>
        <w:rPr>
          <w:rFonts w:hint="eastAsia" w:ascii="仿宋_GB2312" w:eastAsia="仿宋_GB2312" w:cs="DengXian-Regular"/>
          <w:sz w:val="32"/>
          <w:szCs w:val="32"/>
        </w:rPr>
        <w:t>%。如表所示：</w:t>
      </w:r>
    </w:p>
    <w:tbl>
      <w:tblPr>
        <w:tblStyle w:val="13"/>
        <w:tblW w:w="8874" w:type="dxa"/>
        <w:tblInd w:w="0" w:type="dxa"/>
        <w:tblLayout w:type="fixed"/>
        <w:tblCellMar>
          <w:top w:w="15" w:type="dxa"/>
          <w:left w:w="15" w:type="dxa"/>
          <w:bottom w:w="15" w:type="dxa"/>
          <w:right w:w="15" w:type="dxa"/>
        </w:tblCellMar>
      </w:tblPr>
      <w:tblGrid>
        <w:gridCol w:w="2267"/>
        <w:gridCol w:w="1731"/>
        <w:gridCol w:w="1560"/>
        <w:gridCol w:w="1560"/>
        <w:gridCol w:w="1756"/>
      </w:tblGrid>
      <w:tr>
        <w:trPr>
          <w:trHeight w:val="286" w:hRule="atLeast"/>
        </w:trPr>
        <w:tc>
          <w:tcPr>
            <w:tcW w:w="8874" w:type="dxa"/>
            <w:gridSpan w:val="5"/>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表1：收入决算结构</w:t>
            </w:r>
          </w:p>
        </w:tc>
      </w:tr>
      <w:tr>
        <w:tblPrEx>
          <w:tblCellMar>
            <w:top w:w="15" w:type="dxa"/>
            <w:left w:w="15" w:type="dxa"/>
            <w:bottom w:w="15" w:type="dxa"/>
            <w:right w:w="15" w:type="dxa"/>
          </w:tblCellMar>
        </w:tblPrEx>
        <w:trPr>
          <w:trHeight w:val="286" w:hRule="atLeast"/>
        </w:trPr>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财政拨款收入</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事业收入</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经营收入</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其他收入</w:t>
            </w:r>
          </w:p>
        </w:tc>
      </w:tr>
      <w:tr>
        <w:trPr>
          <w:trHeight w:val="286" w:hRule="atLeast"/>
        </w:trPr>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金额（万元）</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9716.21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5.6</w:t>
            </w:r>
          </w:p>
        </w:tc>
      </w:tr>
      <w:tr>
        <w:tblPrEx>
          <w:tblCellMar>
            <w:top w:w="15" w:type="dxa"/>
            <w:left w:w="15" w:type="dxa"/>
            <w:bottom w:w="15" w:type="dxa"/>
            <w:right w:w="15" w:type="dxa"/>
          </w:tblCellMar>
        </w:tblPrEx>
        <w:trPr>
          <w:trHeight w:val="286" w:hRule="atLeast"/>
        </w:trPr>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占比（%）</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98.7%</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0.05%</w:t>
            </w:r>
          </w:p>
        </w:tc>
      </w:tr>
    </w:tbl>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本部门2019年度本年支出合计</w:t>
      </w:r>
      <w:r>
        <w:rPr>
          <w:rFonts w:hint="eastAsia" w:ascii="仿宋_GB2312" w:eastAsia="仿宋_GB2312" w:cs="DengXian-Regular"/>
          <w:sz w:val="32"/>
          <w:szCs w:val="32"/>
          <w:lang w:val="en-US" w:eastAsia="zh-CN"/>
        </w:rPr>
        <w:t>8550.77</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2043.76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23.9</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6507.01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76.1</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%。如表所示：</w:t>
      </w:r>
    </w:p>
    <w:p>
      <w:pPr>
        <w:adjustRightInd w:val="0"/>
        <w:snapToGrid w:val="0"/>
        <w:spacing w:after="0" w:line="580" w:lineRule="exact"/>
        <w:ind w:firstLine="640" w:firstLineChars="200"/>
        <w:rPr>
          <w:rFonts w:ascii="仿宋_GB2312" w:eastAsia="仿宋_GB2312" w:cs="DengXian-Regular"/>
          <w:sz w:val="32"/>
          <w:szCs w:val="32"/>
        </w:rPr>
      </w:pPr>
    </w:p>
    <w:tbl>
      <w:tblPr>
        <w:tblStyle w:val="13"/>
        <w:tblW w:w="8874" w:type="dxa"/>
        <w:tblInd w:w="0" w:type="dxa"/>
        <w:tblLayout w:type="fixed"/>
        <w:tblCellMar>
          <w:top w:w="15" w:type="dxa"/>
          <w:left w:w="15" w:type="dxa"/>
          <w:bottom w:w="15" w:type="dxa"/>
          <w:right w:w="15" w:type="dxa"/>
        </w:tblCellMar>
      </w:tblPr>
      <w:tblGrid>
        <w:gridCol w:w="2493"/>
        <w:gridCol w:w="2300"/>
        <w:gridCol w:w="2070"/>
        <w:gridCol w:w="2011"/>
      </w:tblGrid>
      <w:tr>
        <w:tblPrEx>
          <w:tblCellMar>
            <w:top w:w="15" w:type="dxa"/>
            <w:left w:w="15" w:type="dxa"/>
            <w:bottom w:w="15" w:type="dxa"/>
            <w:right w:w="15" w:type="dxa"/>
          </w:tblCellMar>
        </w:tblPrEx>
        <w:trPr>
          <w:trHeight w:val="286" w:hRule="atLeast"/>
        </w:trPr>
        <w:tc>
          <w:tcPr>
            <w:tcW w:w="8874" w:type="dxa"/>
            <w:gridSpan w:val="4"/>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表2：支出决算结构</w:t>
            </w:r>
          </w:p>
        </w:tc>
      </w:tr>
      <w:tr>
        <w:tblPrEx>
          <w:tblCellMar>
            <w:top w:w="15" w:type="dxa"/>
            <w:left w:w="15" w:type="dxa"/>
            <w:bottom w:w="15" w:type="dxa"/>
            <w:right w:w="15" w:type="dxa"/>
          </w:tblCellMar>
        </w:tblPrEx>
        <w:trPr>
          <w:trHeight w:val="286" w:hRule="atLeast"/>
        </w:trPr>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基本支出</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项目支出</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经营支出</w:t>
            </w:r>
          </w:p>
        </w:tc>
      </w:tr>
      <w:tr>
        <w:tblPrEx>
          <w:tblCellMar>
            <w:top w:w="15" w:type="dxa"/>
            <w:left w:w="15" w:type="dxa"/>
            <w:bottom w:w="15" w:type="dxa"/>
            <w:right w:w="15" w:type="dxa"/>
          </w:tblCellMar>
        </w:tblPrEx>
        <w:trPr>
          <w:trHeight w:val="286" w:hRule="atLeast"/>
        </w:trPr>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金额（万元）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lang w:val="en-US" w:eastAsia="zh-CN"/>
              </w:rPr>
            </w:pPr>
            <w:r>
              <w:rPr>
                <w:rFonts w:hint="eastAsia" w:ascii="宋体" w:hAnsi="宋体" w:cs="宋体"/>
                <w:color w:val="000000"/>
                <w:sz w:val="24"/>
                <w:lang w:val="en-US" w:eastAsia="zh-CN"/>
              </w:rPr>
              <w:t>2043.76</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lang w:val="en-US" w:eastAsia="zh-CN"/>
              </w:rPr>
            </w:pPr>
            <w:r>
              <w:rPr>
                <w:rFonts w:hint="eastAsia" w:ascii="宋体" w:hAnsi="宋体" w:cs="宋体"/>
                <w:color w:val="000000"/>
                <w:sz w:val="24"/>
                <w:lang w:val="en-US" w:eastAsia="zh-CN"/>
              </w:rPr>
              <w:t>6507.01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lang w:val="en-US" w:eastAsia="zh-CN"/>
              </w:rPr>
            </w:pPr>
          </w:p>
        </w:tc>
      </w:tr>
      <w:tr>
        <w:tblPrEx>
          <w:tblCellMar>
            <w:top w:w="15" w:type="dxa"/>
            <w:left w:w="15" w:type="dxa"/>
            <w:bottom w:w="15" w:type="dxa"/>
            <w:right w:w="15" w:type="dxa"/>
          </w:tblCellMar>
        </w:tblPrEx>
        <w:trPr>
          <w:trHeight w:val="286" w:hRule="atLeast"/>
        </w:trPr>
        <w:tc>
          <w:tcPr>
            <w:tcW w:w="24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占比（%）</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cs="宋体"/>
                <w:color w:val="000000"/>
                <w:sz w:val="24"/>
                <w:lang w:val="en-US" w:eastAsia="zh-CN"/>
              </w:rPr>
            </w:pPr>
            <w:r>
              <w:rPr>
                <w:rFonts w:hint="eastAsia" w:ascii="宋体" w:hAnsi="宋体" w:cs="宋体"/>
                <w:color w:val="000000"/>
                <w:sz w:val="24"/>
                <w:lang w:val="en-US" w:eastAsia="zh-CN"/>
              </w:rPr>
              <w:t>23.9%</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cs="宋体"/>
                <w:color w:val="000000"/>
                <w:sz w:val="24"/>
                <w:lang w:val="en-US" w:eastAsia="zh-CN"/>
              </w:rPr>
            </w:pPr>
            <w:r>
              <w:rPr>
                <w:rFonts w:hint="eastAsia" w:ascii="宋体" w:hAnsi="宋体" w:cs="宋体"/>
                <w:color w:val="000000"/>
                <w:sz w:val="24"/>
                <w:lang w:val="en-US" w:eastAsia="zh-CN"/>
              </w:rPr>
              <w:t>76.1%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 w:val="24"/>
                <w:lang w:val="en-US" w:eastAsia="zh-CN"/>
              </w:rPr>
            </w:pPr>
          </w:p>
        </w:tc>
      </w:tr>
    </w:tbl>
    <w:p>
      <w:pPr>
        <w:adjustRightInd w:val="0"/>
        <w:snapToGrid w:val="0"/>
        <w:spacing w:after="0" w:line="580" w:lineRule="exact"/>
        <w:ind w:firstLine="640" w:firstLineChars="200"/>
        <w:rPr>
          <w:rFonts w:ascii="仿宋_GB2312" w:eastAsia="仿宋_GB2312" w:cs="DengXian-Regular"/>
          <w:sz w:val="32"/>
          <w:szCs w:val="32"/>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拨款收入支出决算总体情况说明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（一）财政拨款收支与2018年度决算对比情况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本部门2019年度财政拨款本年收入</w:t>
      </w:r>
      <w:r>
        <w:rPr>
          <w:rFonts w:hint="eastAsia" w:ascii="仿宋_GB2312" w:eastAsia="仿宋_GB2312" w:cs="DengXian-Regular"/>
          <w:sz w:val="32"/>
          <w:szCs w:val="32"/>
          <w:lang w:val="en-US" w:eastAsia="zh-CN"/>
        </w:rPr>
        <w:t>9842.49</w:t>
      </w:r>
      <w:r>
        <w:rPr>
          <w:rFonts w:hint="eastAsia" w:ascii="仿宋_GB2312" w:eastAsia="仿宋_GB2312" w:cs="DengXian-Regular"/>
          <w:sz w:val="32"/>
          <w:szCs w:val="32"/>
        </w:rPr>
        <w:t>万元,比2018年度减少</w:t>
      </w:r>
      <w:r>
        <w:rPr>
          <w:rFonts w:hint="eastAsia" w:ascii="仿宋_GB2312" w:eastAsia="仿宋_GB2312" w:cs="DengXian-Regular"/>
          <w:sz w:val="32"/>
          <w:szCs w:val="32"/>
          <w:lang w:val="en-US" w:eastAsia="zh-CN"/>
        </w:rPr>
        <w:t>17916.83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64.5</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美丽乡村建设项目减少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8550.77</w:t>
      </w:r>
      <w:r>
        <w:rPr>
          <w:rFonts w:hint="eastAsia" w:ascii="仿宋_GB2312" w:eastAsia="仿宋_GB2312" w:cs="DengXian-Regular"/>
          <w:sz w:val="32"/>
          <w:szCs w:val="32"/>
        </w:rPr>
        <w:t>万元，减少</w:t>
      </w:r>
      <w:r>
        <w:rPr>
          <w:rFonts w:hint="eastAsia" w:ascii="仿宋_GB2312" w:eastAsia="仿宋_GB2312" w:cs="DengXian-Regular"/>
          <w:sz w:val="32"/>
          <w:szCs w:val="32"/>
          <w:lang w:val="en-US" w:eastAsia="zh-CN"/>
        </w:rPr>
        <w:t>18257.36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68.1</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美丽乡村建设项目减少</w:t>
      </w:r>
      <w:r>
        <w:rPr>
          <w:rFonts w:hint="eastAsia" w:ascii="仿宋_GB2312" w:eastAsia="仿宋_GB2312" w:cs="DengXian-Regular"/>
          <w:sz w:val="32"/>
          <w:szCs w:val="32"/>
        </w:rPr>
        <w:t>。具体情况如下：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1.一般公共预算财政拨款本年收入</w:t>
      </w:r>
      <w:r>
        <w:rPr>
          <w:rFonts w:hint="eastAsia" w:ascii="仿宋_GB2312" w:eastAsia="仿宋_GB2312" w:cs="DengXian-Regular"/>
          <w:sz w:val="32"/>
          <w:szCs w:val="32"/>
          <w:lang w:val="en-US" w:eastAsia="zh-CN"/>
        </w:rPr>
        <w:t>9716.21</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11939.06</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，降低</w:t>
      </w:r>
      <w:r>
        <w:rPr>
          <w:rFonts w:hint="eastAsia" w:ascii="仿宋_GB2312" w:eastAsia="仿宋_GB2312" w:cs="DengXian-Regular"/>
          <w:sz w:val="32"/>
          <w:szCs w:val="32"/>
          <w:lang w:val="en-US" w:eastAsia="zh-CN"/>
        </w:rPr>
        <w:t>55.1%</w:t>
      </w:r>
      <w:r>
        <w:rPr>
          <w:rFonts w:hint="eastAsia" w:ascii="仿宋_GB2312" w:eastAsia="仿宋_GB2312" w:cs="DengXian-Regular"/>
          <w:sz w:val="32"/>
          <w:szCs w:val="32"/>
        </w:rPr>
        <w:t>；主要</w:t>
      </w:r>
      <w:r>
        <w:rPr>
          <w:rFonts w:hint="eastAsia" w:ascii="仿宋_GB2312" w:eastAsia="仿宋_GB2312" w:cs="DengXian-Regular"/>
          <w:sz w:val="32"/>
          <w:szCs w:val="32"/>
          <w:lang w:eastAsia="zh-CN"/>
        </w:rPr>
        <w:t>美丽乡村建设项目减少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8417.52</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12455.23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59.6</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美丽乡村建设项目减少</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2.政府性基金预算财政拨款本年收入</w:t>
      </w:r>
      <w:r>
        <w:rPr>
          <w:rFonts w:hint="eastAsia" w:ascii="仿宋_GB2312" w:eastAsia="仿宋_GB2312" w:cs="DengXian-Regular"/>
          <w:sz w:val="32"/>
          <w:szCs w:val="32"/>
          <w:lang w:val="en-US" w:eastAsia="zh-CN"/>
        </w:rPr>
        <w:t>120.68</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3940.57</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97</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美丽乡村建设项目减少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120.68</w:t>
      </w:r>
      <w:r>
        <w:rPr>
          <w:rFonts w:hint="eastAsia" w:ascii="仿宋_GB2312" w:eastAsia="仿宋_GB2312" w:cs="DengXian-Regular"/>
          <w:sz w:val="32"/>
          <w:szCs w:val="32"/>
        </w:rPr>
        <w:t>万元，比上年减少</w:t>
      </w:r>
      <w:r>
        <w:rPr>
          <w:rFonts w:hint="eastAsia" w:ascii="仿宋_GB2312" w:eastAsia="仿宋_GB2312" w:cs="DengXian-Regular"/>
          <w:sz w:val="32"/>
          <w:szCs w:val="32"/>
          <w:lang w:val="en-US" w:eastAsia="zh-CN"/>
        </w:rPr>
        <w:t>3783.89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96.9</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美丽乡村建设项目减少</w:t>
      </w:r>
      <w:r>
        <w:rPr>
          <w:rFonts w:hint="eastAsia" w:ascii="仿宋_GB2312" w:eastAsia="仿宋_GB2312" w:cs="DengXian-Regular"/>
          <w:sz w:val="32"/>
          <w:szCs w:val="32"/>
        </w:rPr>
        <w:t>。</w:t>
      </w:r>
    </w:p>
    <w:tbl>
      <w:tblPr>
        <w:tblStyle w:val="13"/>
        <w:tblW w:w="8874" w:type="dxa"/>
        <w:tblInd w:w="0" w:type="dxa"/>
        <w:tblLayout w:type="fixed"/>
        <w:tblCellMar>
          <w:top w:w="15" w:type="dxa"/>
          <w:left w:w="15" w:type="dxa"/>
          <w:bottom w:w="15" w:type="dxa"/>
          <w:right w:w="15" w:type="dxa"/>
        </w:tblCellMar>
      </w:tblPr>
      <w:tblGrid>
        <w:gridCol w:w="1860"/>
        <w:gridCol w:w="1037"/>
        <w:gridCol w:w="1038"/>
        <w:gridCol w:w="1039"/>
        <w:gridCol w:w="1038"/>
        <w:gridCol w:w="1039"/>
        <w:gridCol w:w="1823"/>
      </w:tblGrid>
      <w:tr>
        <w:tblPrEx>
          <w:tblCellMar>
            <w:top w:w="15" w:type="dxa"/>
            <w:left w:w="15" w:type="dxa"/>
            <w:bottom w:w="15" w:type="dxa"/>
            <w:right w:w="15" w:type="dxa"/>
          </w:tblCellMar>
        </w:tblPrEx>
        <w:trPr>
          <w:trHeight w:val="375" w:hRule="atLeast"/>
        </w:trPr>
        <w:tc>
          <w:tcPr>
            <w:tcW w:w="8874" w:type="dxa"/>
            <w:gridSpan w:val="7"/>
            <w:shd w:val="clear" w:color="auto" w:fill="auto"/>
            <w:vAlign w:val="center"/>
          </w:tcPr>
          <w:p>
            <w:pPr>
              <w:widowControl/>
              <w:jc w:val="center"/>
              <w:textAlignment w:val="center"/>
              <w:rPr>
                <w:rFonts w:ascii="仿宋_GB2312" w:hAnsi="宋体" w:eastAsia="仿宋_GB2312" w:cs="仿宋_GB2312"/>
                <w:color w:val="000000"/>
                <w:sz w:val="28"/>
                <w:szCs w:val="28"/>
              </w:rPr>
            </w:pPr>
            <w:r>
              <w:rPr>
                <w:rFonts w:ascii="仿宋_GB2312" w:hAnsi="宋体" w:eastAsia="仿宋_GB2312" w:cs="仿宋_GB2312"/>
                <w:color w:val="000000"/>
                <w:kern w:val="0"/>
                <w:sz w:val="28"/>
                <w:szCs w:val="28"/>
              </w:rPr>
              <w:t>表3：201</w:t>
            </w:r>
            <w:r>
              <w:rPr>
                <w:rFonts w:hint="eastAsia" w:ascii="仿宋_GB2312" w:hAnsi="宋体" w:eastAsia="仿宋_GB2312" w:cs="仿宋_GB2312"/>
                <w:color w:val="000000"/>
                <w:kern w:val="0"/>
                <w:sz w:val="28"/>
                <w:szCs w:val="28"/>
              </w:rPr>
              <w:t>8</w:t>
            </w:r>
            <w:r>
              <w:rPr>
                <w:rFonts w:ascii="仿宋_GB2312" w:hAnsi="宋体" w:eastAsia="仿宋_GB2312" w:cs="仿宋_GB2312"/>
                <w:color w:val="000000"/>
                <w:kern w:val="0"/>
                <w:sz w:val="28"/>
                <w:szCs w:val="28"/>
              </w:rPr>
              <w:t>-201</w:t>
            </w:r>
            <w:r>
              <w:rPr>
                <w:rFonts w:hint="eastAsia" w:ascii="仿宋_GB2312" w:hAnsi="宋体" w:eastAsia="仿宋_GB2312" w:cs="仿宋_GB2312"/>
                <w:color w:val="000000"/>
                <w:kern w:val="0"/>
                <w:sz w:val="28"/>
                <w:szCs w:val="28"/>
              </w:rPr>
              <w:t>9</w:t>
            </w:r>
            <w:r>
              <w:rPr>
                <w:rFonts w:ascii="仿宋_GB2312" w:hAnsi="宋体" w:eastAsia="仿宋_GB2312" w:cs="仿宋_GB2312"/>
                <w:color w:val="000000"/>
                <w:kern w:val="0"/>
                <w:sz w:val="28"/>
                <w:szCs w:val="28"/>
              </w:rPr>
              <w:t>年财政拨款收支情况</w:t>
            </w:r>
          </w:p>
        </w:tc>
      </w:tr>
      <w:tr>
        <w:tblPrEx>
          <w:tblCellMar>
            <w:top w:w="15" w:type="dxa"/>
            <w:left w:w="15" w:type="dxa"/>
            <w:bottom w:w="15" w:type="dxa"/>
            <w:right w:w="15" w:type="dxa"/>
          </w:tblCellMar>
        </w:tblPrEx>
        <w:trPr>
          <w:trHeight w:val="564" w:hRule="atLeast"/>
        </w:trPr>
        <w:tc>
          <w:tcPr>
            <w:tcW w:w="1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31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财政拨款收入</w:t>
            </w:r>
          </w:p>
        </w:tc>
        <w:tc>
          <w:tcPr>
            <w:tcW w:w="39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财政拨款支出</w:t>
            </w:r>
          </w:p>
        </w:tc>
      </w:tr>
      <w:tr>
        <w:tblPrEx>
          <w:tblCellMar>
            <w:top w:w="15" w:type="dxa"/>
            <w:left w:w="15" w:type="dxa"/>
            <w:bottom w:w="15" w:type="dxa"/>
            <w:right w:w="15" w:type="dxa"/>
          </w:tblCellMar>
        </w:tblPrEx>
        <w:trPr>
          <w:trHeight w:val="1392" w:hRule="atLeast"/>
        </w:trPr>
        <w:tc>
          <w:tcPr>
            <w:tcW w:w="1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一般公共预算财政拨款收入</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政府性基金预算财政拨款收入</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小计</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一般公共预算财政拨款支出</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政府性基金预算财政拨款支出</w:t>
            </w:r>
          </w:p>
        </w:tc>
      </w:tr>
      <w:tr>
        <w:tblPrEx>
          <w:tblCellMar>
            <w:top w:w="15" w:type="dxa"/>
            <w:left w:w="15" w:type="dxa"/>
            <w:bottom w:w="15" w:type="dxa"/>
            <w:right w:w="15" w:type="dxa"/>
          </w:tblCellMar>
        </w:tblPrEx>
        <w:trPr>
          <w:trHeight w:val="286"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2018年（万元）</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25716.52</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21655.27</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4061.25</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24777.32</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20872.75</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3904.57</w:t>
            </w:r>
          </w:p>
        </w:tc>
      </w:tr>
      <w:tr>
        <w:tblPrEx>
          <w:tblCellMar>
            <w:top w:w="15" w:type="dxa"/>
            <w:left w:w="15" w:type="dxa"/>
            <w:bottom w:w="15" w:type="dxa"/>
            <w:right w:w="15" w:type="dxa"/>
          </w:tblCellMar>
        </w:tblPrEx>
        <w:trPr>
          <w:trHeight w:val="286"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2019年（万元）</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9836.89</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9716.21</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120.68</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8538.2</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8417.52</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120.68</w:t>
            </w:r>
          </w:p>
        </w:tc>
      </w:tr>
      <w:tr>
        <w:tblPrEx>
          <w:tblCellMar>
            <w:top w:w="15" w:type="dxa"/>
            <w:left w:w="15" w:type="dxa"/>
            <w:bottom w:w="15" w:type="dxa"/>
            <w:right w:w="15" w:type="dxa"/>
          </w:tblCellMar>
        </w:tblPrEx>
        <w:trPr>
          <w:trHeight w:val="286" w:hRule="atLeast"/>
        </w:trPr>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增长比率（%）</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38.25%</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55.1%</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59.6%</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34.45%</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97%</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96.9%</w:t>
            </w:r>
          </w:p>
        </w:tc>
      </w:tr>
    </w:tbl>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本部门2019年度财政拨款本年收入</w:t>
      </w:r>
      <w:r>
        <w:rPr>
          <w:rFonts w:hint="eastAsia" w:ascii="仿宋_GB2312" w:eastAsia="仿宋_GB2312" w:cs="DengXian-Regular"/>
          <w:sz w:val="32"/>
          <w:szCs w:val="32"/>
          <w:lang w:val="en-US" w:eastAsia="zh-CN"/>
        </w:rPr>
        <w:t>9842.49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60.94</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6306.75</w:t>
      </w:r>
      <w:r>
        <w:rPr>
          <w:rFonts w:hint="eastAsia" w:ascii="仿宋_GB2312" w:eastAsia="仿宋_GB2312" w:cs="DengXian-Regular"/>
          <w:sz w:val="32"/>
          <w:szCs w:val="32"/>
        </w:rPr>
        <w:t>万元，决算数小于预算数主要原因是</w:t>
      </w:r>
      <w:r>
        <w:rPr>
          <w:rFonts w:hint="eastAsia" w:ascii="仿宋_GB2312" w:eastAsia="仿宋_GB2312" w:cs="DengXian-Regular"/>
          <w:sz w:val="32"/>
          <w:szCs w:val="32"/>
          <w:lang w:eastAsia="zh-CN"/>
        </w:rPr>
        <w:t>资金结转及部分政府债未能实际偿还</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8550.77</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52.94</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7598.47</w:t>
      </w:r>
      <w:r>
        <w:rPr>
          <w:rFonts w:hint="eastAsia" w:ascii="仿宋_GB2312" w:eastAsia="仿宋_GB2312" w:cs="DengXian-Regular"/>
          <w:sz w:val="32"/>
          <w:szCs w:val="32"/>
        </w:rPr>
        <w:t>万元，决算数小于预算数主要原因是</w:t>
      </w:r>
      <w:r>
        <w:rPr>
          <w:rFonts w:hint="eastAsia" w:ascii="仿宋_GB2312" w:eastAsia="仿宋_GB2312" w:cs="DengXian-Regular"/>
          <w:sz w:val="32"/>
          <w:szCs w:val="32"/>
          <w:lang w:eastAsia="zh-CN"/>
        </w:rPr>
        <w:t>资金结转及部分政府债未能实际偿还</w:t>
      </w:r>
      <w:r>
        <w:rPr>
          <w:rFonts w:hint="eastAsia" w:ascii="仿宋_GB2312" w:eastAsia="仿宋_GB2312" w:cs="DengXian-Regular"/>
          <w:sz w:val="32"/>
          <w:szCs w:val="32"/>
        </w:rPr>
        <w:t>。具体情况如下：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1.一般公共预算财政拨款本年收入完成年初预算</w:t>
      </w:r>
      <w:r>
        <w:rPr>
          <w:rFonts w:hint="eastAsia" w:ascii="仿宋_GB2312" w:eastAsia="仿宋_GB2312" w:cs="DengXian-Regular"/>
          <w:sz w:val="32"/>
          <w:szCs w:val="32"/>
          <w:lang w:val="en-US" w:eastAsia="zh-CN"/>
        </w:rPr>
        <w:t>92.8</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753.05</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部分项目未开展</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80.5</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2039.15</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部分项目未开展</w:t>
      </w:r>
      <w:r>
        <w:rPr>
          <w:rFonts w:hint="eastAsia" w:ascii="仿宋_GB2312" w:eastAsia="仿宋_GB2312" w:cs="DengXian-Regular"/>
          <w:sz w:val="32"/>
          <w:szCs w:val="32"/>
        </w:rPr>
        <w:t xml:space="preserve">。  </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2.政府性基金预算财政拨款本年收入完成年初预算</w:t>
      </w:r>
      <w:r>
        <w:rPr>
          <w:rFonts w:hint="eastAsia" w:ascii="仿宋_GB2312" w:eastAsia="仿宋_GB2312" w:cs="DengXian-Regular"/>
          <w:sz w:val="32"/>
          <w:szCs w:val="32"/>
          <w:lang w:val="en-US" w:eastAsia="zh-CN"/>
        </w:rPr>
        <w:t>2.12</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5559.32</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资金未能安排</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2.12</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5559.32</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资金未能安排</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p>
    <w:tbl>
      <w:tblPr>
        <w:tblStyle w:val="13"/>
        <w:tblW w:w="9045" w:type="dxa"/>
        <w:tblInd w:w="0" w:type="dxa"/>
        <w:tblLayout w:type="fixed"/>
        <w:tblCellMar>
          <w:top w:w="15" w:type="dxa"/>
          <w:left w:w="15" w:type="dxa"/>
          <w:bottom w:w="15" w:type="dxa"/>
          <w:right w:w="15" w:type="dxa"/>
        </w:tblCellMar>
      </w:tblPr>
      <w:tblGrid>
        <w:gridCol w:w="1855"/>
        <w:gridCol w:w="1523"/>
        <w:gridCol w:w="1003"/>
        <w:gridCol w:w="1522"/>
        <w:gridCol w:w="1003"/>
        <w:gridCol w:w="1003"/>
        <w:gridCol w:w="1136"/>
      </w:tblGrid>
      <w:tr>
        <w:tblPrEx>
          <w:tblCellMar>
            <w:top w:w="15" w:type="dxa"/>
            <w:left w:w="15" w:type="dxa"/>
            <w:bottom w:w="15" w:type="dxa"/>
            <w:right w:w="15" w:type="dxa"/>
          </w:tblCellMar>
        </w:tblPrEx>
        <w:trPr>
          <w:trHeight w:val="510" w:hRule="atLeast"/>
        </w:trPr>
        <w:tc>
          <w:tcPr>
            <w:tcW w:w="9045" w:type="dxa"/>
            <w:gridSpan w:val="7"/>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表4：财政拨款收支预决算对比情况</w:t>
            </w:r>
          </w:p>
        </w:tc>
      </w:tr>
      <w:tr>
        <w:tblPrEx>
          <w:tblCellMar>
            <w:top w:w="15" w:type="dxa"/>
            <w:left w:w="15" w:type="dxa"/>
            <w:bottom w:w="15" w:type="dxa"/>
            <w:right w:w="15" w:type="dxa"/>
          </w:tblCellMar>
        </w:tblPrEx>
        <w:trPr>
          <w:trHeight w:val="286" w:hRule="atLeast"/>
        </w:trPr>
        <w:tc>
          <w:tcPr>
            <w:tcW w:w="1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40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财政拨款收入</w:t>
            </w:r>
          </w:p>
        </w:tc>
        <w:tc>
          <w:tcPr>
            <w:tcW w:w="31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财政拨款支出</w:t>
            </w:r>
          </w:p>
        </w:tc>
      </w:tr>
      <w:tr>
        <w:tblPrEx>
          <w:tblCellMar>
            <w:top w:w="15" w:type="dxa"/>
            <w:left w:w="15" w:type="dxa"/>
            <w:bottom w:w="15" w:type="dxa"/>
            <w:right w:w="15" w:type="dxa"/>
          </w:tblCellMar>
        </w:tblPrEx>
        <w:trPr>
          <w:trHeight w:val="720" w:hRule="atLeast"/>
        </w:trPr>
        <w:tc>
          <w:tcPr>
            <w:tcW w:w="1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小计</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一般公共预算财政拨款收入</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政府性基金预算财政拨款收入</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小计</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一般公共预算财政拨款支出</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政府性基金预算财政拨款支出</w:t>
            </w:r>
          </w:p>
        </w:tc>
      </w:tr>
      <w:tr>
        <w:tblPrEx>
          <w:tblCellMar>
            <w:top w:w="15" w:type="dxa"/>
            <w:left w:w="15" w:type="dxa"/>
            <w:bottom w:w="15" w:type="dxa"/>
            <w:right w:w="15" w:type="dxa"/>
          </w:tblCellMar>
        </w:tblPrEx>
        <w:trPr>
          <w:trHeight w:val="286" w:hRule="atLeast"/>
        </w:trPr>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年初预算数（万元）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16149.24</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10469.24</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5680</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16149.24</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10469.24</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5680</w:t>
            </w:r>
          </w:p>
        </w:tc>
      </w:tr>
      <w:tr>
        <w:tblPrEx>
          <w:tblCellMar>
            <w:top w:w="15" w:type="dxa"/>
            <w:left w:w="15" w:type="dxa"/>
            <w:bottom w:w="15" w:type="dxa"/>
            <w:right w:w="15" w:type="dxa"/>
          </w:tblCellMar>
        </w:tblPrEx>
        <w:trPr>
          <w:trHeight w:val="286" w:hRule="atLeast"/>
        </w:trPr>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决算数（万元）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9842.49</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9716.21</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120.68</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8550.77</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8430.09</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120.68</w:t>
            </w:r>
          </w:p>
        </w:tc>
      </w:tr>
    </w:tbl>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2019年度财政拨款支出</w:t>
      </w:r>
      <w:r>
        <w:rPr>
          <w:rFonts w:hint="eastAsia" w:ascii="仿宋_GB2312" w:eastAsia="仿宋_GB2312" w:cs="DengXian-Regular"/>
          <w:sz w:val="32"/>
          <w:szCs w:val="32"/>
          <w:lang w:val="en-US" w:eastAsia="zh-CN"/>
        </w:rPr>
        <w:t>8550.77</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：节能环保</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1989.2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23.26</w:t>
      </w:r>
      <w:r>
        <w:rPr>
          <w:rFonts w:hint="eastAsia" w:ascii="仿宋_GB2312" w:eastAsia="仿宋_GB2312" w:cs="DengXian-Regular"/>
          <w:sz w:val="32"/>
          <w:szCs w:val="32"/>
        </w:rPr>
        <w:t>%；</w:t>
      </w:r>
      <w:r>
        <w:rPr>
          <w:rFonts w:hint="eastAsia" w:ascii="仿宋_GB2312" w:eastAsia="仿宋_GB2312" w:cs="DengXian-Regular"/>
          <w:sz w:val="32"/>
          <w:szCs w:val="32"/>
          <w:lang w:eastAsia="zh-CN"/>
        </w:rPr>
        <w:t>城乡社区</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120.68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1.42</w:t>
      </w:r>
      <w:r>
        <w:rPr>
          <w:rFonts w:hint="eastAsia" w:ascii="仿宋_GB2312" w:eastAsia="仿宋_GB2312" w:cs="DengXian-Regular"/>
          <w:sz w:val="32"/>
          <w:szCs w:val="32"/>
        </w:rPr>
        <w:t>%；</w:t>
      </w:r>
      <w:r>
        <w:rPr>
          <w:rFonts w:hint="eastAsia" w:ascii="仿宋_GB2312" w:eastAsia="仿宋_GB2312" w:cs="DengXian-Regular"/>
          <w:sz w:val="32"/>
          <w:szCs w:val="32"/>
          <w:lang w:eastAsia="zh-CN"/>
        </w:rPr>
        <w:t>农林水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6440.89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75.32</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tbl>
      <w:tblPr>
        <w:tblStyle w:val="13"/>
        <w:tblW w:w="8874" w:type="dxa"/>
        <w:tblInd w:w="0" w:type="dxa"/>
        <w:tblLayout w:type="fixed"/>
        <w:tblCellMar>
          <w:top w:w="15" w:type="dxa"/>
          <w:left w:w="15" w:type="dxa"/>
          <w:bottom w:w="15" w:type="dxa"/>
          <w:right w:w="15" w:type="dxa"/>
        </w:tblCellMar>
      </w:tblPr>
      <w:tblGrid>
        <w:gridCol w:w="2021"/>
        <w:gridCol w:w="1615"/>
        <w:gridCol w:w="1615"/>
        <w:gridCol w:w="1615"/>
        <w:gridCol w:w="2008"/>
      </w:tblGrid>
      <w:tr>
        <w:tblPrEx>
          <w:tblCellMar>
            <w:top w:w="15" w:type="dxa"/>
            <w:left w:w="15" w:type="dxa"/>
            <w:bottom w:w="15" w:type="dxa"/>
            <w:right w:w="15" w:type="dxa"/>
          </w:tblCellMar>
        </w:tblPrEx>
        <w:trPr>
          <w:trHeight w:val="286" w:hRule="atLeast"/>
        </w:trPr>
        <w:tc>
          <w:tcPr>
            <w:tcW w:w="8874" w:type="dxa"/>
            <w:gridSpan w:val="5"/>
            <w:shd w:val="clear" w:color="auto" w:fill="auto"/>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表5：财政拨款支出决算结构（按功能分类）</w:t>
            </w:r>
          </w:p>
        </w:tc>
      </w:tr>
      <w:tr>
        <w:tblPrEx>
          <w:tblCellMar>
            <w:top w:w="15" w:type="dxa"/>
            <w:left w:w="15" w:type="dxa"/>
            <w:bottom w:w="15" w:type="dxa"/>
            <w:right w:w="15" w:type="dxa"/>
          </w:tblCellMar>
        </w:tblPrEx>
        <w:trPr>
          <w:trHeight w:val="286" w:hRule="atLeast"/>
        </w:trPr>
        <w:tc>
          <w:tcPr>
            <w:tcW w:w="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rPr>
              <w:t>节能环保</w:t>
            </w:r>
            <w:r>
              <w:rPr>
                <w:rFonts w:hint="eastAsia" w:ascii="宋体" w:hAnsi="宋体" w:cs="宋体"/>
                <w:color w:val="000000"/>
                <w:kern w:val="0"/>
                <w:sz w:val="20"/>
                <w:szCs w:val="20"/>
              </w:rPr>
              <w:t>支出</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rPr>
              <w:t>城乡社区</w:t>
            </w:r>
            <w:r>
              <w:rPr>
                <w:rFonts w:hint="eastAsia" w:ascii="宋体" w:hAnsi="宋体" w:cs="宋体"/>
                <w:color w:val="000000"/>
                <w:kern w:val="0"/>
                <w:sz w:val="20"/>
                <w:szCs w:val="20"/>
              </w:rPr>
              <w:t>支出</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eastAsia="zh-CN"/>
              </w:rPr>
              <w:t>农林水</w:t>
            </w:r>
            <w:r>
              <w:rPr>
                <w:rFonts w:hint="eastAsia" w:ascii="宋体" w:hAnsi="宋体" w:cs="宋体"/>
                <w:color w:val="000000"/>
                <w:kern w:val="0"/>
                <w:sz w:val="20"/>
                <w:szCs w:val="20"/>
              </w:rPr>
              <w:t>支出</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金额（万元）</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1989.2</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120.68</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6440.89</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r>
      <w:tr>
        <w:tblPrEx>
          <w:tblCellMar>
            <w:top w:w="15" w:type="dxa"/>
            <w:left w:w="15" w:type="dxa"/>
            <w:bottom w:w="15" w:type="dxa"/>
            <w:right w:w="15" w:type="dxa"/>
          </w:tblCellMar>
        </w:tblPrEx>
        <w:trPr>
          <w:trHeight w:val="286" w:hRule="atLeast"/>
        </w:trPr>
        <w:tc>
          <w:tcPr>
            <w:tcW w:w="2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占比（%）</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23.26%</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1.42%</w:t>
            </w:r>
          </w:p>
        </w:tc>
        <w:tc>
          <w:tcPr>
            <w:tcW w:w="16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75.32%</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r>
    </w:tbl>
    <w:p>
      <w:pPr>
        <w:adjustRightInd w:val="0"/>
        <w:snapToGrid w:val="0"/>
        <w:spacing w:after="0" w:line="580" w:lineRule="exact"/>
        <w:ind w:left="420" w:leftChars="200"/>
        <w:rPr>
          <w:rFonts w:ascii="仿宋_GB2312" w:eastAsia="仿宋_GB2312" w:cs="DengXian-Regular"/>
          <w:sz w:val="32"/>
          <w:szCs w:val="32"/>
          <w:highlight w:val="yellow"/>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2019年度财政拨款基本支出</w:t>
      </w:r>
      <w:r>
        <w:rPr>
          <w:rFonts w:hint="eastAsia" w:ascii="仿宋_GB2312" w:eastAsia="仿宋_GB2312" w:cs="DengXian-Regular"/>
          <w:sz w:val="32"/>
          <w:szCs w:val="32"/>
          <w:lang w:val="en-US" w:eastAsia="zh-CN"/>
        </w:rPr>
        <w:t>2043.76</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1842.53</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201.23</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color w:val="FF0000"/>
        </w:rPr>
      </w:pPr>
      <w:r>
        <w:rPr>
          <w:rFonts w:hint="eastAsia" w:ascii="黑体" w:eastAsia="黑体"/>
          <w:b w:val="0"/>
          <w:bCs w:val="0"/>
        </w:rPr>
        <w:t>五、一般公共预算 “三公” 经费支出决算情况说明</w:t>
      </w:r>
    </w:p>
    <w:p>
      <w:pPr>
        <w:adjustRightInd w:val="0"/>
        <w:snapToGrid w:val="0"/>
        <w:spacing w:line="584" w:lineRule="exact"/>
        <w:ind w:firstLine="640" w:firstLineChars="200"/>
        <w:rPr>
          <w:rFonts w:eastAsia="仿宋_GB2312"/>
          <w:sz w:val="32"/>
          <w:szCs w:val="32"/>
          <w:highlight w:val="yellow"/>
        </w:rPr>
      </w:pPr>
      <w:r>
        <w:rPr>
          <w:rFonts w:eastAsia="仿宋_GB2312"/>
          <w:sz w:val="32"/>
          <w:szCs w:val="32"/>
        </w:rPr>
        <w:t>本部门201</w:t>
      </w:r>
      <w:r>
        <w:rPr>
          <w:rFonts w:hint="eastAsia" w:eastAsia="仿宋_GB2312"/>
          <w:sz w:val="32"/>
          <w:szCs w:val="32"/>
        </w:rPr>
        <w:t>9</w:t>
      </w:r>
      <w:r>
        <w:rPr>
          <w:rFonts w:eastAsia="仿宋_GB2312"/>
          <w:sz w:val="32"/>
          <w:szCs w:val="32"/>
        </w:rPr>
        <w:t>年度 “三公”经费支出共计</w:t>
      </w:r>
      <w:r>
        <w:rPr>
          <w:rFonts w:hint="eastAsia" w:eastAsia="仿宋_GB2312"/>
          <w:sz w:val="32"/>
          <w:szCs w:val="32"/>
          <w:lang w:val="en-US" w:eastAsia="zh-CN"/>
        </w:rPr>
        <w:t>15.32</w:t>
      </w:r>
      <w:r>
        <w:rPr>
          <w:rFonts w:eastAsia="仿宋_GB2312"/>
          <w:sz w:val="32"/>
          <w:szCs w:val="32"/>
        </w:rPr>
        <w:t>万元，</w:t>
      </w:r>
      <w:r>
        <w:rPr>
          <w:rFonts w:hint="eastAsia" w:eastAsia="仿宋_GB2312"/>
          <w:sz w:val="32"/>
          <w:szCs w:val="32"/>
        </w:rPr>
        <w:t>完成预算的</w:t>
      </w:r>
      <w:r>
        <w:rPr>
          <w:rFonts w:hint="eastAsia" w:eastAsia="仿宋_GB2312"/>
          <w:sz w:val="32"/>
          <w:szCs w:val="32"/>
          <w:lang w:val="en-US" w:eastAsia="zh-CN"/>
        </w:rPr>
        <w:t>100</w:t>
      </w:r>
      <w:r>
        <w:rPr>
          <w:rFonts w:eastAsia="仿宋_GB2312"/>
          <w:sz w:val="32"/>
          <w:szCs w:val="32"/>
        </w:rPr>
        <w:t>%</w:t>
      </w:r>
      <w:r>
        <w:rPr>
          <w:rFonts w:hint="eastAsia" w:eastAsia="仿宋_GB2312"/>
          <w:sz w:val="32"/>
          <w:szCs w:val="32"/>
        </w:rPr>
        <w:t>，较</w:t>
      </w:r>
      <w:r>
        <w:rPr>
          <w:rFonts w:eastAsia="仿宋_GB2312"/>
          <w:sz w:val="32"/>
          <w:szCs w:val="32"/>
        </w:rPr>
        <w:t>预算</w:t>
      </w:r>
      <w:r>
        <w:rPr>
          <w:rFonts w:hint="eastAsia" w:eastAsia="仿宋_GB2312"/>
          <w:sz w:val="32"/>
          <w:szCs w:val="32"/>
          <w:lang w:eastAsia="zh-CN"/>
        </w:rPr>
        <w:t>持平</w:t>
      </w:r>
      <w:r>
        <w:rPr>
          <w:rFonts w:eastAsia="仿宋_GB2312"/>
          <w:sz w:val="32"/>
          <w:szCs w:val="32"/>
        </w:rPr>
        <w:t>；</w:t>
      </w:r>
      <w:r>
        <w:rPr>
          <w:rFonts w:hint="eastAsia" w:eastAsia="仿宋_GB2312"/>
          <w:sz w:val="32"/>
          <w:szCs w:val="32"/>
        </w:rPr>
        <w:t>较</w:t>
      </w:r>
      <w:r>
        <w:rPr>
          <w:rFonts w:eastAsia="仿宋_GB2312"/>
          <w:sz w:val="32"/>
          <w:szCs w:val="32"/>
        </w:rPr>
        <w:t>201</w:t>
      </w:r>
      <w:r>
        <w:rPr>
          <w:rFonts w:hint="eastAsia" w:eastAsia="仿宋_GB2312"/>
          <w:sz w:val="32"/>
          <w:szCs w:val="32"/>
        </w:rPr>
        <w:t>8</w:t>
      </w:r>
      <w:r>
        <w:rPr>
          <w:rFonts w:eastAsia="仿宋_GB2312"/>
          <w:sz w:val="32"/>
          <w:szCs w:val="32"/>
        </w:rPr>
        <w:t>年度减少</w:t>
      </w:r>
      <w:r>
        <w:rPr>
          <w:rFonts w:hint="eastAsia" w:eastAsia="仿宋_GB2312"/>
          <w:sz w:val="32"/>
          <w:szCs w:val="32"/>
          <w:lang w:val="en-US" w:eastAsia="zh-CN"/>
        </w:rPr>
        <w:t>5.13</w:t>
      </w:r>
      <w:r>
        <w:rPr>
          <w:rFonts w:eastAsia="仿宋_GB2312"/>
          <w:sz w:val="32"/>
          <w:szCs w:val="32"/>
        </w:rPr>
        <w:t>万元，降低</w:t>
      </w:r>
      <w:r>
        <w:rPr>
          <w:rFonts w:hint="eastAsia" w:eastAsia="仿宋_GB2312"/>
          <w:sz w:val="32"/>
          <w:szCs w:val="32"/>
          <w:lang w:val="en-US" w:eastAsia="zh-CN"/>
        </w:rPr>
        <w:t>25.08</w:t>
      </w:r>
      <w:r>
        <w:rPr>
          <w:rFonts w:hint="eastAsia" w:ascii="仿宋_GB2312" w:eastAsia="仿宋_GB2312" w:cs="DengXian-Regular"/>
          <w:sz w:val="32"/>
          <w:szCs w:val="32"/>
        </w:rPr>
        <w:t>%</w:t>
      </w:r>
      <w:r>
        <w:rPr>
          <w:rFonts w:eastAsia="仿宋_GB2312"/>
          <w:sz w:val="32"/>
          <w:szCs w:val="32"/>
        </w:rPr>
        <w:t>，主要是</w:t>
      </w:r>
      <w:r>
        <w:rPr>
          <w:rFonts w:hint="eastAsia" w:eastAsia="仿宋_GB2312"/>
          <w:sz w:val="32"/>
          <w:szCs w:val="32"/>
          <w:lang w:eastAsia="zh-CN"/>
        </w:rPr>
        <w:t>厉行节约、减少三公经费支出</w:t>
      </w:r>
      <w:r>
        <w:rPr>
          <w:rFonts w:eastAsia="仿宋_GB2312"/>
          <w:sz w:val="32"/>
          <w:szCs w:val="32"/>
        </w:rPr>
        <w:t>。具体情况如下：</w:t>
      </w:r>
    </w:p>
    <w:p>
      <w:pPr>
        <w:adjustRightInd w:val="0"/>
        <w:snapToGrid w:val="0"/>
        <w:spacing w:line="584" w:lineRule="exact"/>
        <w:ind w:firstLine="643" w:firstLineChars="200"/>
        <w:rPr>
          <w:rFonts w:hint="eastAsia" w:eastAsia="仿宋_GB2312"/>
          <w:sz w:val="32"/>
          <w:szCs w:val="32"/>
          <w:lang w:eastAsia="zh-CN"/>
        </w:rPr>
      </w:pPr>
      <w:r>
        <w:rPr>
          <w:rFonts w:eastAsia="楷体_GB2312"/>
          <w:b/>
          <w:bCs/>
          <w:sz w:val="32"/>
          <w:szCs w:val="32"/>
        </w:rPr>
        <w:t>（一）因公出国（境）费支出</w:t>
      </w:r>
      <w:r>
        <w:rPr>
          <w:rFonts w:hint="eastAsia" w:eastAsia="楷体_GB2312"/>
          <w:b/>
          <w:bCs/>
          <w:sz w:val="32"/>
          <w:szCs w:val="32"/>
          <w:lang w:val="en-US" w:eastAsia="zh-CN"/>
        </w:rPr>
        <w:t>0</w:t>
      </w:r>
      <w:r>
        <w:rPr>
          <w:rFonts w:eastAsia="楷体_GB2312"/>
          <w:b/>
          <w:bCs/>
          <w:sz w:val="32"/>
          <w:szCs w:val="32"/>
        </w:rPr>
        <w:t>万元。</w:t>
      </w:r>
      <w:r>
        <w:rPr>
          <w:rFonts w:eastAsia="仿宋_GB2312"/>
          <w:sz w:val="32"/>
          <w:szCs w:val="32"/>
        </w:rPr>
        <w:t>本部门201</w:t>
      </w:r>
      <w:r>
        <w:rPr>
          <w:rFonts w:hint="eastAsia" w:eastAsia="仿宋_GB2312"/>
          <w:sz w:val="32"/>
          <w:szCs w:val="32"/>
          <w:lang w:val="en-US" w:eastAsia="zh-CN"/>
        </w:rPr>
        <w:t>9</w:t>
      </w:r>
      <w:r>
        <w:rPr>
          <w:rFonts w:eastAsia="仿宋_GB2312"/>
          <w:sz w:val="32"/>
          <w:szCs w:val="32"/>
        </w:rPr>
        <w:t>年度</w:t>
      </w:r>
      <w:r>
        <w:rPr>
          <w:rFonts w:hint="eastAsia" w:ascii="仿宋_GB2312" w:eastAsia="仿宋_GB2312" w:cs="DengXian-Regular"/>
          <w:sz w:val="32"/>
          <w:szCs w:val="32"/>
        </w:rPr>
        <w:t>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r>
        <w:rPr>
          <w:rFonts w:eastAsia="仿宋_GB2312"/>
          <w:sz w:val="32"/>
          <w:szCs w:val="32"/>
        </w:rPr>
        <w:t>因公出国（境）费支出</w:t>
      </w:r>
      <w:r>
        <w:rPr>
          <w:rFonts w:hint="eastAsia" w:eastAsia="仿宋_GB2312"/>
          <w:sz w:val="32"/>
          <w:szCs w:val="32"/>
        </w:rPr>
        <w:t>比</w:t>
      </w:r>
      <w:r>
        <w:rPr>
          <w:rFonts w:eastAsia="仿宋_GB2312"/>
          <w:sz w:val="32"/>
          <w:szCs w:val="32"/>
        </w:rPr>
        <w:t>年初预算</w:t>
      </w:r>
      <w:r>
        <w:rPr>
          <w:rFonts w:hint="eastAsia" w:eastAsia="仿宋_GB2312"/>
          <w:sz w:val="32"/>
          <w:szCs w:val="32"/>
          <w:lang w:eastAsia="zh-CN"/>
        </w:rPr>
        <w:t>持平，较上年持平。</w:t>
      </w:r>
    </w:p>
    <w:p>
      <w:pPr>
        <w:adjustRightInd w:val="0"/>
        <w:snapToGrid w:val="0"/>
        <w:spacing w:line="584" w:lineRule="exact"/>
        <w:ind w:firstLine="643" w:firstLineChars="200"/>
        <w:rPr>
          <w:rFonts w:eastAsia="仿宋_GB2312"/>
          <w:sz w:val="32"/>
          <w:szCs w:val="32"/>
        </w:rPr>
      </w:pPr>
      <w:r>
        <w:rPr>
          <w:rFonts w:eastAsia="仿宋_GB2312"/>
          <w:b/>
          <w:sz w:val="32"/>
          <w:szCs w:val="32"/>
        </w:rPr>
        <w:t>（二）公务用车购置及运行维护费支出</w:t>
      </w:r>
      <w:r>
        <w:rPr>
          <w:rFonts w:hint="eastAsia" w:eastAsia="仿宋_GB2312"/>
          <w:b/>
          <w:sz w:val="32"/>
          <w:szCs w:val="32"/>
          <w:lang w:val="en-US" w:eastAsia="zh-CN"/>
        </w:rPr>
        <w:t>14.99</w:t>
      </w:r>
      <w:r>
        <w:rPr>
          <w:rFonts w:eastAsia="仿宋_GB2312"/>
          <w:b/>
          <w:sz w:val="32"/>
          <w:szCs w:val="32"/>
        </w:rPr>
        <w:t>万元。</w:t>
      </w:r>
      <w:r>
        <w:rPr>
          <w:rFonts w:hint="eastAsia" w:eastAsia="仿宋_GB2312"/>
          <w:sz w:val="32"/>
          <w:szCs w:val="32"/>
        </w:rPr>
        <w:t>本部门2019年度公务用车购置及运行维护费较预算</w:t>
      </w:r>
      <w:r>
        <w:rPr>
          <w:rFonts w:hint="eastAsia" w:eastAsia="仿宋_GB2312"/>
          <w:sz w:val="32"/>
          <w:szCs w:val="32"/>
          <w:lang w:eastAsia="zh-CN"/>
        </w:rPr>
        <w:t>持平</w:t>
      </w:r>
      <w:r>
        <w:rPr>
          <w:rFonts w:hint="eastAsia" w:eastAsia="仿宋_GB2312"/>
          <w:sz w:val="32"/>
          <w:szCs w:val="32"/>
        </w:rPr>
        <w:t>；较上年</w:t>
      </w:r>
      <w:r>
        <w:rPr>
          <w:rFonts w:eastAsia="仿宋_GB2312"/>
          <w:sz w:val="32"/>
          <w:szCs w:val="32"/>
        </w:rPr>
        <w:t>减少</w:t>
      </w:r>
      <w:r>
        <w:rPr>
          <w:rFonts w:hint="eastAsia" w:eastAsia="仿宋_GB2312"/>
          <w:sz w:val="32"/>
          <w:szCs w:val="32"/>
          <w:lang w:val="en-US" w:eastAsia="zh-CN"/>
        </w:rPr>
        <w:t>4.77</w:t>
      </w:r>
      <w:r>
        <w:rPr>
          <w:rFonts w:eastAsia="仿宋_GB2312"/>
          <w:sz w:val="32"/>
          <w:szCs w:val="32"/>
        </w:rPr>
        <w:t>万元，降低</w:t>
      </w:r>
      <w:r>
        <w:rPr>
          <w:rFonts w:hint="eastAsia" w:eastAsia="仿宋_GB2312"/>
          <w:sz w:val="32"/>
          <w:szCs w:val="32"/>
          <w:lang w:val="en-US" w:eastAsia="zh-CN"/>
        </w:rPr>
        <w:t>24.13</w:t>
      </w:r>
      <w:r>
        <w:rPr>
          <w:rFonts w:hint="eastAsia" w:ascii="仿宋_GB2312" w:eastAsia="仿宋_GB2312" w:cs="DengXian-Regular"/>
          <w:sz w:val="32"/>
          <w:szCs w:val="32"/>
        </w:rPr>
        <w:t>%</w:t>
      </w:r>
      <w:r>
        <w:rPr>
          <w:rFonts w:eastAsia="仿宋_GB2312"/>
          <w:sz w:val="32"/>
          <w:szCs w:val="32"/>
        </w:rPr>
        <w:t>，主要是</w:t>
      </w:r>
      <w:r>
        <w:rPr>
          <w:rFonts w:hint="eastAsia" w:eastAsia="仿宋_GB2312"/>
          <w:sz w:val="32"/>
          <w:szCs w:val="32"/>
          <w:lang w:eastAsia="zh-CN"/>
        </w:rPr>
        <w:t>厉行节约</w:t>
      </w:r>
      <w:r>
        <w:rPr>
          <w:rFonts w:eastAsia="仿宋_GB2312"/>
          <w:sz w:val="32"/>
          <w:szCs w:val="32"/>
        </w:rPr>
        <w:t>。其中：</w:t>
      </w:r>
    </w:p>
    <w:p>
      <w:pPr>
        <w:adjustRightInd w:val="0"/>
        <w:snapToGrid w:val="0"/>
        <w:spacing w:line="580" w:lineRule="exact"/>
        <w:ind w:firstLine="643" w:firstLineChars="200"/>
        <w:rPr>
          <w:rFonts w:ascii="仿宋_GB2312" w:eastAsia="仿宋_GB2312" w:cs="DengXian-Regular"/>
          <w:sz w:val="32"/>
          <w:szCs w:val="32"/>
        </w:rPr>
      </w:pPr>
      <w:r>
        <w:rPr>
          <w:rFonts w:eastAsia="仿宋_GB2312"/>
          <w:b/>
          <w:sz w:val="32"/>
          <w:szCs w:val="32"/>
        </w:rPr>
        <w:t>公务用车购置费</w:t>
      </w:r>
      <w:r>
        <w:rPr>
          <w:rFonts w:hint="eastAsia" w:eastAsia="仿宋_GB2312"/>
          <w:b/>
          <w:sz w:val="32"/>
          <w:szCs w:val="32"/>
        </w:rPr>
        <w:t>：</w:t>
      </w:r>
      <w:r>
        <w:rPr>
          <w:rFonts w:eastAsia="仿宋_GB2312"/>
          <w:sz w:val="32"/>
          <w:szCs w:val="32"/>
        </w:rPr>
        <w:t>本部门201</w:t>
      </w:r>
      <w:r>
        <w:rPr>
          <w:rFonts w:hint="eastAsia" w:eastAsia="仿宋_GB2312"/>
          <w:sz w:val="32"/>
          <w:szCs w:val="32"/>
        </w:rPr>
        <w:t>9</w:t>
      </w:r>
      <w:r>
        <w:rPr>
          <w:rFonts w:eastAsia="仿宋_GB2312"/>
          <w:sz w:val="32"/>
          <w:szCs w:val="32"/>
        </w:rPr>
        <w:t>年度公务用车购置量</w:t>
      </w:r>
      <w:r>
        <w:rPr>
          <w:rFonts w:hint="eastAsia" w:eastAsia="仿宋_GB2312"/>
          <w:sz w:val="32"/>
          <w:szCs w:val="32"/>
          <w:lang w:val="en-US" w:eastAsia="zh-CN"/>
        </w:rPr>
        <w:t>0</w:t>
      </w:r>
      <w:r>
        <w:rPr>
          <w:rFonts w:eastAsia="仿宋_GB2312"/>
          <w:sz w:val="32"/>
          <w:szCs w:val="32"/>
        </w:rPr>
        <w:t>辆</w:t>
      </w:r>
      <w:r>
        <w:rPr>
          <w:rFonts w:hint="eastAsia" w:eastAsia="仿宋_GB2312"/>
          <w:sz w:val="32"/>
          <w:szCs w:val="32"/>
        </w:rPr>
        <w:t>，发生“</w:t>
      </w:r>
      <w:r>
        <w:rPr>
          <w:rFonts w:eastAsia="仿宋_GB2312"/>
          <w:sz w:val="32"/>
          <w:szCs w:val="32"/>
        </w:rPr>
        <w:t>公务用车购置</w:t>
      </w:r>
      <w:r>
        <w:rPr>
          <w:rFonts w:hint="eastAsia" w:eastAsia="仿宋_GB2312"/>
          <w:sz w:val="32"/>
          <w:szCs w:val="32"/>
        </w:rPr>
        <w:t>”经费</w:t>
      </w:r>
      <w:r>
        <w:rPr>
          <w:rFonts w:eastAsia="仿宋_GB2312"/>
          <w:sz w:val="32"/>
          <w:szCs w:val="32"/>
        </w:rPr>
        <w:t>支出</w:t>
      </w:r>
      <w:r>
        <w:rPr>
          <w:rFonts w:hint="eastAsia" w:eastAsia="仿宋_GB2312"/>
          <w:sz w:val="32"/>
          <w:szCs w:val="32"/>
          <w:lang w:val="en-US" w:eastAsia="zh-CN"/>
        </w:rPr>
        <w:t>0</w:t>
      </w:r>
      <w:r>
        <w:rPr>
          <w:rFonts w:eastAsia="仿宋_GB2312"/>
          <w:sz w:val="32"/>
          <w:szCs w:val="32"/>
        </w:rPr>
        <w:t>万元</w:t>
      </w:r>
      <w:r>
        <w:rPr>
          <w:rFonts w:hint="eastAsia" w:eastAsia="仿宋_GB2312"/>
          <w:sz w:val="32"/>
          <w:szCs w:val="32"/>
        </w:rPr>
        <w:t>。</w:t>
      </w:r>
      <w:r>
        <w:rPr>
          <w:rFonts w:hint="eastAsia" w:ascii="仿宋_GB2312" w:eastAsia="仿宋_GB2312" w:cs="DengXian-Regular"/>
          <w:sz w:val="32"/>
          <w:szCs w:val="32"/>
        </w:rPr>
        <w:t>公务用车购置费支出较预算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；较上年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pPr>
        <w:adjustRightInd w:val="0"/>
        <w:snapToGrid w:val="0"/>
        <w:spacing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本部门2019年度单位公务用车保有量</w:t>
      </w:r>
      <w:r>
        <w:rPr>
          <w:rFonts w:hint="eastAsia" w:ascii="仿宋_GB2312" w:eastAsia="仿宋_GB2312" w:cs="DengXian-Regular"/>
          <w:sz w:val="32"/>
          <w:szCs w:val="32"/>
          <w:lang w:val="en-US" w:eastAsia="zh-CN"/>
        </w:rPr>
        <w:t>19</w:t>
      </w:r>
      <w:r>
        <w:rPr>
          <w:rFonts w:hint="eastAsia" w:ascii="仿宋_GB2312" w:eastAsia="仿宋_GB2312" w:cs="DengXian-Regular"/>
          <w:sz w:val="32"/>
          <w:szCs w:val="32"/>
        </w:rPr>
        <w:t>辆。公车运行维护费支出较预算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r>
        <w:rPr>
          <w:rFonts w:hint="eastAsia" w:eastAsia="仿宋_GB2312"/>
          <w:sz w:val="32"/>
          <w:szCs w:val="32"/>
        </w:rPr>
        <w:t>较上年</w:t>
      </w:r>
      <w:r>
        <w:rPr>
          <w:rFonts w:eastAsia="仿宋_GB2312"/>
          <w:sz w:val="32"/>
          <w:szCs w:val="32"/>
        </w:rPr>
        <w:t>减少</w:t>
      </w:r>
      <w:r>
        <w:rPr>
          <w:rFonts w:hint="eastAsia" w:eastAsia="仿宋_GB2312"/>
          <w:sz w:val="32"/>
          <w:szCs w:val="32"/>
          <w:lang w:val="en-US" w:eastAsia="zh-CN"/>
        </w:rPr>
        <w:t>4.77</w:t>
      </w:r>
      <w:r>
        <w:rPr>
          <w:rFonts w:eastAsia="仿宋_GB2312"/>
          <w:sz w:val="32"/>
          <w:szCs w:val="32"/>
        </w:rPr>
        <w:t>万元，降低</w:t>
      </w:r>
      <w:r>
        <w:rPr>
          <w:rFonts w:hint="eastAsia" w:eastAsia="仿宋_GB2312"/>
          <w:sz w:val="32"/>
          <w:szCs w:val="32"/>
          <w:lang w:val="en-US" w:eastAsia="zh-CN"/>
        </w:rPr>
        <w:t>24.13</w:t>
      </w:r>
      <w:r>
        <w:rPr>
          <w:rFonts w:hint="eastAsia" w:ascii="仿宋_GB2312" w:eastAsia="仿宋_GB2312" w:cs="DengXian-Regular"/>
          <w:sz w:val="32"/>
          <w:szCs w:val="32"/>
        </w:rPr>
        <w:t>%</w:t>
      </w:r>
      <w:r>
        <w:rPr>
          <w:rFonts w:eastAsia="仿宋_GB2312"/>
          <w:sz w:val="32"/>
          <w:szCs w:val="32"/>
        </w:rPr>
        <w:t>，主要是</w:t>
      </w:r>
      <w:r>
        <w:rPr>
          <w:rFonts w:hint="eastAsia" w:eastAsia="仿宋_GB2312"/>
          <w:sz w:val="32"/>
          <w:szCs w:val="32"/>
          <w:lang w:eastAsia="zh-CN"/>
        </w:rPr>
        <w:t>厉行节约</w:t>
      </w:r>
      <w:r>
        <w:rPr>
          <w:rFonts w:hint="eastAsia" w:ascii="仿宋_GB2312" w:eastAsia="仿宋_GB2312" w:cs="DengXian-Regular"/>
          <w:sz w:val="32"/>
          <w:szCs w:val="32"/>
        </w:rPr>
        <w:t>。</w:t>
      </w:r>
    </w:p>
    <w:p>
      <w:pPr>
        <w:adjustRightInd w:val="0"/>
        <w:snapToGrid w:val="0"/>
        <w:spacing w:line="580" w:lineRule="exact"/>
        <w:ind w:firstLine="643" w:firstLineChars="200"/>
        <w:rPr>
          <w:rFonts w:ascii="仿宋_GB2312" w:eastAsia="仿宋_GB2312" w:cs="DengXian-Regular"/>
          <w:sz w:val="32"/>
          <w:szCs w:val="32"/>
        </w:rPr>
      </w:pPr>
      <w:r>
        <w:rPr>
          <w:rFonts w:eastAsia="楷体_GB2312"/>
          <w:b/>
          <w:bCs/>
          <w:sz w:val="32"/>
          <w:szCs w:val="32"/>
        </w:rPr>
        <w:t>（三）公务接待费支出</w:t>
      </w:r>
      <w:r>
        <w:rPr>
          <w:rFonts w:hint="eastAsia" w:eastAsia="楷体_GB2312"/>
          <w:b/>
          <w:bCs/>
          <w:sz w:val="32"/>
          <w:szCs w:val="32"/>
          <w:lang w:val="en-US" w:eastAsia="zh-CN"/>
        </w:rPr>
        <w:t>0.33</w:t>
      </w:r>
      <w:r>
        <w:rPr>
          <w:rFonts w:eastAsia="楷体_GB2312"/>
          <w:b/>
          <w:bCs/>
          <w:sz w:val="32"/>
          <w:szCs w:val="32"/>
        </w:rPr>
        <w:t>万元。</w:t>
      </w:r>
      <w:r>
        <w:rPr>
          <w:rFonts w:hint="eastAsia" w:ascii="仿宋_GB2312" w:eastAsia="仿宋_GB2312" w:cs="DengXian-Regular"/>
          <w:sz w:val="32"/>
          <w:szCs w:val="32"/>
        </w:rPr>
        <w:t>本部门2019年度公务接待共</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55</w:t>
      </w:r>
      <w:r>
        <w:rPr>
          <w:rFonts w:hint="eastAsia" w:ascii="仿宋_GB2312" w:eastAsia="仿宋_GB2312" w:cs="DengXian-Regular"/>
          <w:sz w:val="32"/>
          <w:szCs w:val="32"/>
        </w:rPr>
        <w:t>人次。公务接待费支出较预算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；较上年度减少</w:t>
      </w:r>
      <w:r>
        <w:rPr>
          <w:rFonts w:hint="eastAsia" w:ascii="仿宋_GB2312" w:eastAsia="仿宋_GB2312" w:cs="DengXian-Regular"/>
          <w:sz w:val="32"/>
          <w:szCs w:val="32"/>
          <w:lang w:val="en-US" w:eastAsia="zh-CN"/>
        </w:rPr>
        <w:t>0.36</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52.17</w:t>
      </w:r>
      <w:r>
        <w:rPr>
          <w:rFonts w:hint="eastAsia" w:ascii="仿宋_GB2312" w:eastAsia="仿宋_GB2312" w:cs="DengXian-Regular"/>
          <w:sz w:val="32"/>
          <w:szCs w:val="32"/>
        </w:rPr>
        <w:t>%,主要是</w:t>
      </w:r>
      <w:r>
        <w:rPr>
          <w:rFonts w:hint="eastAsia" w:eastAsia="仿宋_GB2312"/>
          <w:sz w:val="32"/>
          <w:szCs w:val="32"/>
          <w:lang w:eastAsia="zh-CN"/>
        </w:rPr>
        <w:t>厉行节约、减少三公经费支出</w:t>
      </w:r>
      <w:r>
        <w:rPr>
          <w:rFonts w:hint="eastAsia" w:ascii="仿宋_GB2312" w:eastAsia="仿宋_GB2312" w:cs="DengXian-Regular"/>
          <w:sz w:val="32"/>
          <w:szCs w:val="32"/>
        </w:rPr>
        <w:t>。</w:t>
      </w:r>
    </w:p>
    <w:p>
      <w:pPr>
        <w:adjustRightInd w:val="0"/>
        <w:snapToGrid w:val="0"/>
        <w:spacing w:line="580" w:lineRule="exact"/>
        <w:ind w:firstLine="640" w:firstLineChars="200"/>
        <w:rPr>
          <w:rFonts w:ascii="黑体" w:eastAsia="黑体"/>
          <w:sz w:val="32"/>
          <w:szCs w:val="40"/>
        </w:rPr>
      </w:pPr>
      <w:bookmarkStart w:id="0" w:name="_Hlk51834005"/>
      <w:r>
        <w:rPr>
          <w:rFonts w:hint="eastAsia" w:ascii="黑体" w:eastAsia="黑体"/>
          <w:sz w:val="32"/>
          <w:szCs w:val="40"/>
        </w:rPr>
        <w:t>六、预算绩效情况说明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 预算绩效管理工作开展情况。</w:t>
      </w:r>
    </w:p>
    <w:p>
      <w:p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根据预算绩效管理要求，本部门组织对2019年度一般公共预算项目支出全面开展绩效自评，其中，项目</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6373.76</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%。组织对2019年度</w:t>
      </w:r>
      <w:r>
        <w:rPr>
          <w:rFonts w:hint="eastAsia" w:ascii="仿宋_GB2312" w:hAnsi="仿宋_GB2312" w:eastAsia="仿宋_GB2312" w:cs="仿宋_GB2312"/>
          <w:sz w:val="32"/>
          <w:szCs w:val="32"/>
          <w:lang w:eastAsia="zh-CN"/>
        </w:rPr>
        <w:t>农业土地开发资金</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120.68</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%。部门自行组织对“</w:t>
      </w:r>
      <w:r>
        <w:rPr>
          <w:rFonts w:hint="eastAsia" w:ascii="仿宋_GB2312" w:hAnsi="仿宋_GB2312" w:eastAsia="仿宋_GB2312" w:cs="仿宋_GB2312"/>
          <w:sz w:val="32"/>
          <w:szCs w:val="32"/>
          <w:lang w:eastAsia="zh-CN"/>
        </w:rPr>
        <w:t>病死猪无害化处理</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扶贫资金</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个项目开展了部门评价，涉及一般公共预算支出</w:t>
      </w:r>
      <w:r>
        <w:rPr>
          <w:rFonts w:hint="eastAsia" w:ascii="仿宋_GB2312" w:hAnsi="仿宋_GB2312" w:eastAsia="仿宋_GB2312" w:cs="仿宋_GB2312"/>
          <w:sz w:val="32"/>
          <w:szCs w:val="32"/>
          <w:lang w:val="en-US" w:eastAsia="zh-CN"/>
        </w:rPr>
        <w:t>5943.3</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万元。其中，对“</w:t>
      </w:r>
      <w:r>
        <w:rPr>
          <w:rFonts w:hint="eastAsia" w:ascii="仿宋_GB2312" w:hAnsi="仿宋_GB2312" w:eastAsia="仿宋_GB2312" w:cs="仿宋_GB2312"/>
          <w:sz w:val="32"/>
          <w:szCs w:val="32"/>
          <w:lang w:eastAsia="zh-CN"/>
        </w:rPr>
        <w:t>农技员、农机院生活补贴资金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兽医员生活补贴资金</w:t>
      </w:r>
      <w:r>
        <w:rPr>
          <w:rFonts w:hint="eastAsia" w:ascii="仿宋_GB2312" w:hAnsi="仿宋_GB2312" w:eastAsia="仿宋_GB2312" w:cs="仿宋_GB2312"/>
          <w:sz w:val="32"/>
          <w:szCs w:val="32"/>
        </w:rPr>
        <w:t>”等项目分别委托</w:t>
      </w:r>
      <w:r>
        <w:rPr>
          <w:rFonts w:hint="eastAsia" w:ascii="仿宋_GB2312" w:hAnsi="仿宋_GB2312" w:eastAsia="仿宋_GB2312" w:cs="仿宋_GB2312"/>
          <w:sz w:val="32"/>
          <w:szCs w:val="32"/>
          <w:lang w:eastAsia="zh-CN"/>
        </w:rPr>
        <w:t>“北京中育才”</w:t>
      </w:r>
      <w:r>
        <w:rPr>
          <w:rFonts w:hint="eastAsia" w:ascii="仿宋_GB2312" w:hAnsi="仿宋_GB2312" w:eastAsia="仿宋_GB2312" w:cs="仿宋_GB2312"/>
          <w:sz w:val="32"/>
          <w:szCs w:val="32"/>
        </w:rPr>
        <w:t>第三方机构开展绩效评价。从评价情况来看，</w:t>
      </w:r>
      <w:r>
        <w:rPr>
          <w:rFonts w:hint="eastAsia" w:ascii="仿宋_GB2312" w:hAnsi="仿宋_GB2312" w:eastAsia="仿宋_GB2312" w:cs="仿宋_GB2312"/>
          <w:sz w:val="32"/>
          <w:szCs w:val="32"/>
          <w:lang w:eastAsia="zh-CN"/>
        </w:rPr>
        <w:t>项目整体性及延续性得到认可，项目补贴资金的标准及发放群体收到评价机构关注，希望能达到更好的效果。</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 部门决算中项目绩效自评结果。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仿宋_GB2312" w:eastAsia="仿宋_GB2312" w:cs="仿宋_GB2312"/>
          <w:sz w:val="32"/>
          <w:szCs w:val="32"/>
          <w:lang w:eastAsia="zh-CN"/>
        </w:rPr>
        <w:t>农机员、农技员生活补贴资金</w:t>
      </w:r>
      <w:r>
        <w:rPr>
          <w:rFonts w:hint="eastAsia" w:ascii="仿宋_GB2312" w:hAnsi="仿宋_GB2312" w:eastAsia="仿宋_GB2312" w:cs="仿宋_GB2312"/>
          <w:sz w:val="32"/>
          <w:szCs w:val="32"/>
        </w:rPr>
        <w:t>项目及</w:t>
      </w:r>
      <w:r>
        <w:rPr>
          <w:rFonts w:hint="eastAsia" w:ascii="仿宋_GB2312" w:hAnsi="仿宋_GB2312" w:eastAsia="仿宋_GB2312" w:cs="仿宋_GB2312"/>
          <w:sz w:val="32"/>
          <w:szCs w:val="32"/>
          <w:lang w:eastAsia="zh-CN"/>
        </w:rPr>
        <w:t>草地贪夜蛾</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农机员、农技员生活补贴资金</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农机员、农技员生活补贴资金</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265.29</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258.358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97.39</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补助发放率达到</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补助覆盖率达到</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tbl>
      <w:tblPr>
        <w:tblStyle w:val="13"/>
        <w:tblpPr w:leftFromText="180" w:rightFromText="180" w:vertAnchor="text" w:horzAnchor="page" w:tblpX="602" w:tblpY="729"/>
        <w:tblOverlap w:val="never"/>
        <w:tblW w:w="10590" w:type="dxa"/>
        <w:tblInd w:w="0" w:type="dxa"/>
        <w:shd w:val="clear" w:color="auto" w:fill="auto"/>
        <w:tblLayout w:type="autofit"/>
        <w:tblCellMar>
          <w:top w:w="0" w:type="dxa"/>
          <w:left w:w="108" w:type="dxa"/>
          <w:bottom w:w="0" w:type="dxa"/>
          <w:right w:w="108" w:type="dxa"/>
        </w:tblCellMar>
      </w:tblPr>
      <w:tblGrid>
        <w:gridCol w:w="1125"/>
        <w:gridCol w:w="1410"/>
        <w:gridCol w:w="1080"/>
        <w:gridCol w:w="1341"/>
        <w:gridCol w:w="1410"/>
        <w:gridCol w:w="1273"/>
        <w:gridCol w:w="1016"/>
        <w:gridCol w:w="1935"/>
      </w:tblGrid>
      <w:tr>
        <w:tblPrEx>
          <w:shd w:val="clear" w:color="auto" w:fill="auto"/>
          <w:tblCellMar>
            <w:top w:w="0" w:type="dxa"/>
            <w:left w:w="108" w:type="dxa"/>
            <w:bottom w:w="0" w:type="dxa"/>
            <w:right w:w="108" w:type="dxa"/>
          </w:tblCellMar>
        </w:tblPrEx>
        <w:trPr>
          <w:trHeight w:val="510" w:hRule="atLeast"/>
        </w:trPr>
        <w:tc>
          <w:tcPr>
            <w:tcW w:w="10590"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部门预算项目绩效自评表</w:t>
            </w:r>
          </w:p>
        </w:tc>
      </w:tr>
      <w:tr>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（2019年度）</w:t>
            </w:r>
          </w:p>
        </w:tc>
      </w:tr>
      <w:tr>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农业农村局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CellMar>
            <w:top w:w="0" w:type="dxa"/>
            <w:left w:w="108" w:type="dxa"/>
            <w:bottom w:w="0" w:type="dxa"/>
            <w:right w:w="108" w:type="dxa"/>
          </w:tblCellMar>
        </w:tblPrEx>
        <w:trPr>
          <w:trHeight w:val="495" w:hRule="atLeast"/>
        </w:trPr>
        <w:tc>
          <w:tcPr>
            <w:tcW w:w="11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Style w:val="35"/>
                <w:lang w:val="en-US" w:eastAsia="zh-CN" w:bidi="ar"/>
              </w:rPr>
              <w:t>一、</w:t>
            </w:r>
            <w:r>
              <w:rPr>
                <w:rStyle w:val="36"/>
                <w:rFonts w:eastAsia="宋体"/>
                <w:lang w:val="en-US" w:eastAsia="zh-CN" w:bidi="ar"/>
              </w:rPr>
              <w:t xml:space="preserve"> </w:t>
            </w:r>
            <w:r>
              <w:rPr>
                <w:rStyle w:val="35"/>
                <w:lang w:val="en-US" w:eastAsia="zh-CN" w:bidi="ar"/>
              </w:rPr>
              <w:t>基本情况</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农机员、农技员生活补贴资金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2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霸州市农业农村局</w:t>
            </w:r>
          </w:p>
        </w:tc>
      </w:tr>
      <w:tr>
        <w:tblPrEx>
          <w:tblCellMar>
            <w:top w:w="0" w:type="dxa"/>
            <w:left w:w="108" w:type="dxa"/>
            <w:bottom w:w="0" w:type="dxa"/>
            <w:right w:w="108" w:type="dxa"/>
          </w:tblCellMar>
        </w:tblPrEx>
        <w:trPr>
          <w:trHeight w:val="270" w:hRule="atLeast"/>
        </w:trPr>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4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2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265.29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258.358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258.358</w:t>
            </w:r>
          </w:p>
        </w:tc>
        <w:tc>
          <w:tcPr>
            <w:tcW w:w="1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97.39%</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265.29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258.358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258.358</w:t>
            </w: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285"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270" w:hRule="atLeast"/>
        </w:trPr>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计划发放发放农机员、农机员人数约900人，达到群众满意，维护社会稳定。</w:t>
            </w:r>
          </w:p>
        </w:tc>
        <w:tc>
          <w:tcPr>
            <w:tcW w:w="369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全年度实际发放农机员生活补贴683人，解决了这部分农机员老有所养问题，维护了社会稳定。</w:t>
            </w:r>
          </w:p>
        </w:tc>
        <w:tc>
          <w:tcPr>
            <w:tcW w:w="1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9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135"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69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270" w:hRule="atLeast"/>
        </w:trPr>
        <w:tc>
          <w:tcPr>
            <w:tcW w:w="112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Style w:val="35"/>
                <w:lang w:val="en-US" w:eastAsia="zh-CN" w:bidi="ar"/>
              </w:rPr>
              <w:t>四、</w:t>
            </w:r>
            <w:r>
              <w:rPr>
                <w:rStyle w:val="36"/>
                <w:rFonts w:eastAsia="宋体"/>
                <w:lang w:val="en-US" w:eastAsia="zh-CN" w:bidi="ar"/>
              </w:rPr>
              <w:t xml:space="preserve"> </w:t>
            </w:r>
            <w:r>
              <w:rPr>
                <w:rStyle w:val="35"/>
                <w:lang w:val="en-US" w:eastAsia="zh-CN" w:bidi="ar"/>
              </w:rPr>
              <w:t>年度绩效指标完成情况</w:t>
            </w:r>
          </w:p>
        </w:tc>
        <w:tc>
          <w:tcPr>
            <w:tcW w:w="141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CellMar>
            <w:top w:w="0" w:type="dxa"/>
            <w:left w:w="108" w:type="dxa"/>
            <w:bottom w:w="0" w:type="dxa"/>
            <w:right w:w="108" w:type="dxa"/>
          </w:tblCellMar>
        </w:tblPrEx>
        <w:trPr>
          <w:trHeight w:val="140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1080"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补助覆盖率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已申报并通过审核人数的100%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r>
      <w:tr>
        <w:tblPrEx>
          <w:tblCellMar>
            <w:top w:w="0" w:type="dxa"/>
            <w:left w:w="108" w:type="dxa"/>
            <w:bottom w:w="0" w:type="dxa"/>
            <w:right w:w="108" w:type="dxa"/>
          </w:tblCellMar>
        </w:tblPrEx>
        <w:trPr>
          <w:trHeight w:val="140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补助金发放率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已申报通过、符合发放条件享受生活补贴人员100%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r>
      <w:tr>
        <w:tblPrEx>
          <w:tblCellMar>
            <w:top w:w="0" w:type="dxa"/>
            <w:left w:w="108" w:type="dxa"/>
            <w:bottom w:w="0" w:type="dxa"/>
            <w:right w:w="108" w:type="dxa"/>
          </w:tblCellMar>
        </w:tblPrEx>
        <w:trPr>
          <w:trHeight w:val="140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资金发放的准确性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不小于95%</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r>
      <w:tr>
        <w:tblPrEx>
          <w:tblCellMar>
            <w:top w:w="0" w:type="dxa"/>
            <w:left w:w="108" w:type="dxa"/>
            <w:bottom w:w="0" w:type="dxa"/>
            <w:right w:w="108" w:type="dxa"/>
          </w:tblCellMar>
        </w:tblPrEx>
        <w:trPr>
          <w:trHeight w:val="140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补助人员满意度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140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预算执行到位率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285"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5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100</w:t>
            </w:r>
          </w:p>
        </w:tc>
      </w:tr>
      <w:tr>
        <w:tblPrEx>
          <w:tblCellMar>
            <w:top w:w="0" w:type="dxa"/>
            <w:left w:w="108" w:type="dxa"/>
            <w:bottom w:w="0" w:type="dxa"/>
            <w:right w:w="108" w:type="dxa"/>
          </w:tblCellMar>
        </w:tblPrEx>
        <w:trPr>
          <w:trHeight w:val="735" w:hRule="atLeast"/>
        </w:trPr>
        <w:tc>
          <w:tcPr>
            <w:tcW w:w="1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36"/>
                <w:rFonts w:eastAsia="宋体"/>
                <w:lang w:val="en-US" w:eastAsia="zh-CN" w:bidi="ar"/>
              </w:rPr>
              <w:t xml:space="preserve"> </w:t>
            </w:r>
            <w:r>
              <w:rPr>
                <w:rStyle w:val="35"/>
                <w:lang w:val="en-US" w:eastAsia="zh-CN" w:bidi="ar"/>
              </w:rPr>
              <w:t>存在问题、原因及下一步整改措施</w:t>
            </w:r>
          </w:p>
        </w:tc>
        <w:tc>
          <w:tcPr>
            <w:tcW w:w="946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r>
    </w:tbl>
    <w:p>
      <w:pPr>
        <w:numPr>
          <w:ilvl w:val="0"/>
          <w:numId w:val="0"/>
        </w:numPr>
        <w:adjustRightInd w:val="0"/>
        <w:snapToGrid w:val="0"/>
        <w:spacing w:after="0" w:line="580" w:lineRule="exact"/>
        <w:rPr>
          <w:rFonts w:ascii="仿宋_GB2312" w:hAnsi="仿宋_GB2312" w:eastAsia="仿宋_GB2312" w:cs="仿宋_GB2312"/>
          <w:sz w:val="32"/>
          <w:szCs w:val="32"/>
        </w:rPr>
      </w:pPr>
    </w:p>
    <w:p>
      <w:pPr>
        <w:numPr>
          <w:ilvl w:val="0"/>
          <w:numId w:val="2"/>
        </w:num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草地贪夜蛾</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eastAsia="zh-CN"/>
        </w:rPr>
        <w:t>草地贪夜蛾</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草地贪夜蛾防控效果达到</w:t>
      </w: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建立了392个监测点提升预警能力</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tbl>
      <w:tblPr>
        <w:tblStyle w:val="13"/>
        <w:tblpPr w:leftFromText="180" w:rightFromText="180" w:vertAnchor="text" w:horzAnchor="page" w:tblpX="1097" w:tblpY="640"/>
        <w:tblOverlap w:val="never"/>
        <w:tblW w:w="10605" w:type="dxa"/>
        <w:tblInd w:w="0" w:type="dxa"/>
        <w:shd w:val="clear" w:color="auto" w:fill="auto"/>
        <w:tblLayout w:type="autofit"/>
        <w:tblCellMar>
          <w:top w:w="0" w:type="dxa"/>
          <w:left w:w="108" w:type="dxa"/>
          <w:bottom w:w="0" w:type="dxa"/>
          <w:right w:w="108" w:type="dxa"/>
        </w:tblCellMar>
      </w:tblPr>
      <w:tblGrid>
        <w:gridCol w:w="1125"/>
        <w:gridCol w:w="1496"/>
        <w:gridCol w:w="1061"/>
        <w:gridCol w:w="1230"/>
        <w:gridCol w:w="1290"/>
        <w:gridCol w:w="1543"/>
        <w:gridCol w:w="1532"/>
        <w:gridCol w:w="1336"/>
      </w:tblGrid>
      <w:tr>
        <w:tblPrEx>
          <w:shd w:val="clear" w:color="auto" w:fill="auto"/>
          <w:tblCellMar>
            <w:top w:w="0" w:type="dxa"/>
            <w:left w:w="108" w:type="dxa"/>
            <w:bottom w:w="0" w:type="dxa"/>
            <w:right w:w="108" w:type="dxa"/>
          </w:tblCellMar>
        </w:tblPrEx>
        <w:trPr>
          <w:trHeight w:val="510" w:hRule="atLeast"/>
        </w:trPr>
        <w:tc>
          <w:tcPr>
            <w:tcW w:w="10611"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部门预算项目绩效自评表</w:t>
            </w:r>
          </w:p>
        </w:tc>
      </w:tr>
      <w:tr>
        <w:tblPrEx>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（2019年度）</w:t>
            </w:r>
          </w:p>
        </w:tc>
      </w:tr>
      <w:tr>
        <w:tblPrEx>
          <w:tblCellMar>
            <w:top w:w="0" w:type="dxa"/>
            <w:left w:w="108" w:type="dxa"/>
            <w:bottom w:w="0" w:type="dxa"/>
            <w:right w:w="108" w:type="dxa"/>
          </w:tblCellMar>
        </w:tblPrEx>
        <w:trPr>
          <w:trHeight w:val="435"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霸州市农业农村局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CellMar>
            <w:top w:w="0" w:type="dxa"/>
            <w:left w:w="108" w:type="dxa"/>
            <w:bottom w:w="0" w:type="dxa"/>
            <w:right w:w="108" w:type="dxa"/>
          </w:tblCellMar>
        </w:tblPrEx>
        <w:trPr>
          <w:trHeight w:val="870" w:hRule="atLeast"/>
        </w:trPr>
        <w:tc>
          <w:tcPr>
            <w:tcW w:w="112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Style w:val="37"/>
                <w:lang w:val="en-US" w:eastAsia="zh-CN" w:bidi="ar"/>
              </w:rPr>
              <w:t>一、</w:t>
            </w:r>
            <w:r>
              <w:rPr>
                <w:rStyle w:val="38"/>
                <w:rFonts w:eastAsia="宋体"/>
                <w:lang w:val="en-US" w:eastAsia="zh-CN" w:bidi="ar"/>
              </w:rPr>
              <w:t xml:space="preserve"> </w:t>
            </w:r>
            <w:r>
              <w:rPr>
                <w:rStyle w:val="37"/>
                <w:lang w:val="en-US" w:eastAsia="zh-CN" w:bidi="ar"/>
              </w:rPr>
              <w:t>基本情况</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3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关于下达2019年农业生产和水利救灾资金的通知（冀财农[2019]83号）（专项资金）</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霸州市农业农村局</w:t>
            </w:r>
          </w:p>
        </w:tc>
      </w:tr>
      <w:tr>
        <w:tblPrEx>
          <w:tblCellMar>
            <w:top w:w="0" w:type="dxa"/>
            <w:left w:w="108" w:type="dxa"/>
            <w:bottom w:w="0" w:type="dxa"/>
            <w:right w:w="108" w:type="dxa"/>
          </w:tblCellMar>
        </w:tblPrEx>
        <w:trPr>
          <w:trHeight w:val="270" w:hRule="atLeast"/>
        </w:trPr>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4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31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285"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Calibri" w:hAnsi="Calibri" w:eastAsia="宋体" w:cs="Calibri"/>
                <w:i w:val="0"/>
                <w:iCs w:val="0"/>
                <w:color w:val="000000"/>
                <w:sz w:val="21"/>
                <w:szCs w:val="21"/>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6"/>
                <w:szCs w:val="16"/>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270" w:hRule="atLeast"/>
        </w:trPr>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7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4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auto"/>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加强对草地贪夜蛾的监测防控，确保农业生产安全。按照省市有关通知要求，项目区推广应用2项以上综合技术，建立390个监测点；加强补助区域内防控处置率，降低农作物损失率。</w:t>
            </w:r>
          </w:p>
        </w:tc>
        <w:tc>
          <w:tcPr>
            <w:tcW w:w="447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auto"/>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r>
              <w:rPr>
                <w:rStyle w:val="37"/>
                <w:lang w:val="en-US" w:eastAsia="zh-CN" w:bidi="ar"/>
              </w:rPr>
              <w:t>购置草地贪夜蛾性诱捕器400套，向全市15个乡镇（区、办）390个村街及社区发放，建立392个监测点。2、购置67台太阳能杀虫灯，安装在东杨庄乡下坊村。</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16"/>
                <w:szCs w:val="16"/>
                <w:u w:val="none"/>
              </w:rPr>
            </w:pPr>
          </w:p>
        </w:tc>
        <w:tc>
          <w:tcPr>
            <w:tcW w:w="447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16"/>
                <w:szCs w:val="16"/>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345" w:hRule="atLeast"/>
        </w:trPr>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372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16"/>
                <w:szCs w:val="16"/>
                <w:u w:val="none"/>
              </w:rPr>
            </w:pPr>
          </w:p>
        </w:tc>
        <w:tc>
          <w:tcPr>
            <w:tcW w:w="447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16"/>
                <w:szCs w:val="16"/>
                <w:u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CellMar>
            <w:top w:w="0" w:type="dxa"/>
            <w:left w:w="108" w:type="dxa"/>
            <w:bottom w:w="0" w:type="dxa"/>
            <w:right w:w="108" w:type="dxa"/>
          </w:tblCellMar>
        </w:tblPrEx>
        <w:trPr>
          <w:trHeight w:val="510" w:hRule="atLeast"/>
        </w:trPr>
        <w:tc>
          <w:tcPr>
            <w:tcW w:w="112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Style w:val="37"/>
                <w:lang w:val="en-US" w:eastAsia="zh-CN" w:bidi="ar"/>
              </w:rPr>
              <w:t>四、</w:t>
            </w:r>
            <w:r>
              <w:rPr>
                <w:rStyle w:val="38"/>
                <w:rFonts w:eastAsia="宋体"/>
                <w:lang w:val="en-US" w:eastAsia="zh-CN" w:bidi="ar"/>
              </w:rPr>
              <w:t xml:space="preserve"> </w:t>
            </w:r>
            <w:r>
              <w:rPr>
                <w:rStyle w:val="37"/>
                <w:lang w:val="en-US" w:eastAsia="zh-CN" w:bidi="ar"/>
              </w:rPr>
              <w:t>年度绩效指标完成情况</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tblPrEx>
          <w:tblCellMar>
            <w:top w:w="0" w:type="dxa"/>
            <w:left w:w="108" w:type="dxa"/>
            <w:bottom w:w="0" w:type="dxa"/>
            <w:right w:w="108" w:type="dxa"/>
          </w:tblCellMar>
        </w:tblPrEx>
        <w:trPr>
          <w:trHeight w:val="10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产出指标（50）</w:t>
            </w:r>
          </w:p>
        </w:tc>
        <w:tc>
          <w:tcPr>
            <w:tcW w:w="108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草地贪夜蛾重点发生区域防控处置率</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r>
              <w:rPr>
                <w:rStyle w:val="37"/>
                <w:lang w:val="en-US" w:eastAsia="zh-CN" w:bidi="ar"/>
              </w:rPr>
              <w:t>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个别地块性诱捕器零星见成虫，加之玉米处于生长后期，无须防治。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技术培训人数</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40人次以上</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43人次</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草地贪夜蛾防控效果</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零星发现成虫，未见幼虫，无须防治。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虫情调查情况 </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及时发现</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及时发现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效果指标（30）</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有效控制草地贪夜蛾发生态势</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不大面积绝收成灾或损失率控制在5%以内</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没有损失</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草地贪夜蛾虫情汇总反馈情况</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生态效益指标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推广应用综合防治技术模式，促进农药减量增效</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应用2项以上综合技术</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幼虫未发生，只应用2项（灯诱、性诱）综合防治技术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建立草地贪夜蛾监测体系，提升预警能力</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建立390个监测点</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建立392个监测点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项目区农民满意度</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76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年度资金预算执行率</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tblPrEx>
          <w:tblCellMar>
            <w:top w:w="0" w:type="dxa"/>
            <w:left w:w="108" w:type="dxa"/>
            <w:bottom w:w="0" w:type="dxa"/>
            <w:right w:w="108" w:type="dxa"/>
          </w:tblCellMar>
        </w:tblPrEx>
        <w:trPr>
          <w:trHeight w:val="270" w:hRule="atLeast"/>
        </w:trPr>
        <w:tc>
          <w:tcPr>
            <w:tcW w:w="112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19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tblPrEx>
          <w:tblCellMar>
            <w:top w:w="0" w:type="dxa"/>
            <w:left w:w="108" w:type="dxa"/>
            <w:bottom w:w="0" w:type="dxa"/>
            <w:right w:w="108" w:type="dxa"/>
          </w:tblCellMar>
        </w:tblPrEx>
        <w:trPr>
          <w:trHeight w:val="735" w:hRule="atLeast"/>
        </w:trPr>
        <w:tc>
          <w:tcPr>
            <w:tcW w:w="1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38"/>
                <w:rFonts w:eastAsia="宋体"/>
                <w:lang w:val="en-US" w:eastAsia="zh-CN" w:bidi="ar"/>
              </w:rPr>
              <w:t xml:space="preserve"> </w:t>
            </w:r>
            <w:r>
              <w:rPr>
                <w:rStyle w:val="37"/>
                <w:lang w:val="en-US" w:eastAsia="zh-CN" w:bidi="ar"/>
              </w:rPr>
              <w:t>存在问题、原因及下一步整改措施</w:t>
            </w:r>
          </w:p>
        </w:tc>
        <w:tc>
          <w:tcPr>
            <w:tcW w:w="94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p>
        </w:tc>
      </w:tr>
    </w:tbl>
    <w:p>
      <w:pPr>
        <w:numPr>
          <w:ilvl w:val="0"/>
          <w:numId w:val="0"/>
        </w:numPr>
        <w:adjustRightInd w:val="0"/>
        <w:snapToGrid w:val="0"/>
        <w:spacing w:after="0" w:line="580" w:lineRule="exact"/>
        <w:rPr>
          <w:rFonts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综上所述</w:t>
      </w:r>
      <w:r>
        <w:rPr>
          <w:rFonts w:hint="eastAsia" w:ascii="仿宋_GB2312" w:hAnsi="仿宋_GB2312" w:eastAsia="仿宋_GB2312" w:cs="仿宋_GB2312"/>
          <w:sz w:val="32"/>
          <w:szCs w:val="32"/>
        </w:rPr>
        <w:t>下一步改进措施：针对存在的问题，</w:t>
      </w:r>
      <w:r>
        <w:rPr>
          <w:rFonts w:hint="eastAsia" w:ascii="仿宋_GB2312" w:hAnsi="仿宋_GB2312" w:eastAsia="仿宋_GB2312" w:cs="仿宋_GB2312"/>
          <w:sz w:val="32"/>
          <w:szCs w:val="32"/>
          <w:lang w:eastAsia="zh-CN"/>
        </w:rPr>
        <w:t>单位从</w:t>
      </w:r>
      <w:r>
        <w:rPr>
          <w:rFonts w:hint="eastAsia" w:ascii="仿宋_GB2312" w:hAnsi="仿宋_GB2312" w:eastAsia="仿宋_GB2312" w:cs="仿宋_GB2312"/>
          <w:sz w:val="32"/>
          <w:szCs w:val="32"/>
        </w:rPr>
        <w:t>以下几方面措施加以改进：</w:t>
      </w:r>
      <w:r>
        <w:rPr>
          <w:rFonts w:hint="eastAsia" w:ascii="仿宋_GB2312" w:hAnsi="仿宋_GB2312" w:eastAsia="仿宋_GB2312" w:cs="仿宋_GB2312"/>
          <w:sz w:val="32"/>
          <w:szCs w:val="32"/>
          <w:lang w:eastAsia="zh-CN"/>
        </w:rPr>
        <w:t>一是</w:t>
      </w:r>
      <w:r>
        <w:rPr>
          <w:rFonts w:hint="eastAsia" w:ascii="仿宋_GB2312" w:hAnsi="仿宋_GB2312" w:eastAsia="仿宋_GB2312" w:cs="仿宋_GB2312"/>
          <w:sz w:val="32"/>
          <w:szCs w:val="32"/>
        </w:rPr>
        <w:t>加强预算绩效管理。进一步加强各单位的预算资金管理，减少预算资金使用的随意性，对预算的事前、事中、事后进行全过程控制，加大对预算编制与执行的监督管理力度，提高预算资金使用效率。</w:t>
      </w:r>
      <w:r>
        <w:rPr>
          <w:rFonts w:hint="eastAsia" w:ascii="仿宋_GB2312" w:hAnsi="仿宋_GB2312" w:eastAsia="仿宋_GB2312" w:cs="仿宋_GB2312"/>
          <w:sz w:val="32"/>
          <w:szCs w:val="32"/>
          <w:lang w:eastAsia="zh-CN"/>
        </w:rPr>
        <w:t>二是</w:t>
      </w:r>
      <w:r>
        <w:rPr>
          <w:rFonts w:hint="eastAsia" w:ascii="仿宋_GB2312" w:hAnsi="仿宋_GB2312" w:eastAsia="仿宋_GB2312" w:cs="仿宋_GB2312"/>
          <w:sz w:val="32"/>
          <w:szCs w:val="32"/>
        </w:rPr>
        <w:t>加强项目实施监控。</w:t>
      </w:r>
      <w:r>
        <w:rPr>
          <w:rFonts w:hint="eastAsia" w:ascii="仿宋_GB2312" w:hAnsi="仿宋_GB2312" w:eastAsia="仿宋_GB2312" w:cs="仿宋_GB2312"/>
          <w:sz w:val="32"/>
          <w:szCs w:val="32"/>
          <w:lang w:eastAsia="zh-CN"/>
        </w:rPr>
        <w:t>各股室</w:t>
      </w:r>
      <w:r>
        <w:rPr>
          <w:rFonts w:hint="eastAsia" w:ascii="仿宋_GB2312" w:hAnsi="仿宋_GB2312" w:eastAsia="仿宋_GB2312" w:cs="仿宋_GB2312"/>
          <w:sz w:val="32"/>
          <w:szCs w:val="32"/>
        </w:rPr>
        <w:t>加强对项目实施进度的实时监控，要求项目承担</w:t>
      </w:r>
      <w:r>
        <w:rPr>
          <w:rFonts w:hint="eastAsia" w:ascii="仿宋_GB2312" w:hAnsi="仿宋_GB2312" w:eastAsia="仿宋_GB2312" w:cs="仿宋_GB2312"/>
          <w:sz w:val="32"/>
          <w:szCs w:val="32"/>
          <w:lang w:eastAsia="zh-CN"/>
        </w:rPr>
        <w:t>股室</w:t>
      </w:r>
      <w:r>
        <w:rPr>
          <w:rFonts w:hint="eastAsia" w:ascii="仿宋_GB2312" w:hAnsi="仿宋_GB2312" w:eastAsia="仿宋_GB2312" w:cs="仿宋_GB2312"/>
          <w:sz w:val="32"/>
          <w:szCs w:val="32"/>
        </w:rPr>
        <w:t>对项目实施过程中的进度异常，实施范围调整等及时报批或备案，对达成政府采购标准的项目支出，严格执行政府采购流程优选供应商。</w:t>
      </w:r>
    </w:p>
    <w:p>
      <w:pPr>
        <w:adjustRightInd w:val="0"/>
        <w:snapToGrid w:val="0"/>
        <w:spacing w:line="580" w:lineRule="exact"/>
        <w:ind w:left="420" w:leftChars="200"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3.财政评价项目绩效评价结果</w:t>
      </w:r>
    </w:p>
    <w:p>
      <w:pPr>
        <w:adjustRightInd w:val="0"/>
        <w:snapToGrid w:val="0"/>
        <w:spacing w:line="580" w:lineRule="exact"/>
        <w:ind w:left="420" w:leftChars="200" w:firstLine="64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无</w:t>
      </w:r>
    </w:p>
    <w:bookmarkEnd w:id="0"/>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58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本部门2019年度机关运行经费支出</w:t>
      </w:r>
      <w:r>
        <w:rPr>
          <w:rFonts w:hint="eastAsia" w:ascii="仿宋_GB2312" w:hAnsi="仿宋_GB2312" w:eastAsia="仿宋_GB2312" w:cs="仿宋_GB2312"/>
          <w:sz w:val="32"/>
          <w:szCs w:val="32"/>
          <w:lang w:val="en-US" w:eastAsia="zh-CN"/>
        </w:rPr>
        <w:t>225.33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较预算</w:t>
      </w:r>
      <w:r>
        <w:rPr>
          <w:rFonts w:hint="eastAsia" w:ascii="仿宋_GB2312" w:hAnsi="仿宋_GB2312" w:eastAsia="仿宋_GB2312" w:cs="仿宋_GB2312"/>
          <w:sz w:val="32"/>
          <w:szCs w:val="32"/>
          <w:lang w:eastAsia="zh-CN"/>
        </w:rPr>
        <w:t>减少</w:t>
      </w:r>
      <w:r>
        <w:rPr>
          <w:rFonts w:hint="eastAsia" w:ascii="仿宋_GB2312" w:hAnsi="仿宋_GB2312" w:eastAsia="仿宋_GB2312" w:cs="仿宋_GB2312"/>
          <w:sz w:val="32"/>
          <w:szCs w:val="32"/>
          <w:lang w:val="en-US" w:eastAsia="zh-CN"/>
        </w:rPr>
        <w:t>31.89万</w:t>
      </w:r>
      <w:r>
        <w:rPr>
          <w:rFonts w:hint="eastAsia" w:ascii="仿宋_GB2312" w:hAnsi="仿宋_GB2312" w:eastAsia="仿宋_GB2312" w:cs="仿宋_GB2312"/>
          <w:color w:val="auto"/>
          <w:sz w:val="32"/>
          <w:szCs w:val="32"/>
          <w:lang w:val="en-US" w:eastAsia="zh-CN"/>
        </w:rPr>
        <w:t>元，</w:t>
      </w:r>
      <w:r>
        <w:rPr>
          <w:rFonts w:hint="eastAsia" w:ascii="仿宋_GB2312" w:hAnsi="仿宋_GB2312" w:eastAsia="仿宋_GB2312" w:cs="仿宋_GB2312"/>
          <w:color w:val="auto"/>
          <w:sz w:val="32"/>
          <w:szCs w:val="32"/>
        </w:rPr>
        <w:t>较201</w:t>
      </w: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rPr>
        <w:t>年度决算增加</w:t>
      </w:r>
      <w:r>
        <w:rPr>
          <w:rFonts w:hint="eastAsia" w:ascii="仿宋_GB2312" w:hAnsi="仿宋_GB2312" w:eastAsia="仿宋_GB2312" w:cs="仿宋_GB2312"/>
          <w:color w:val="auto"/>
          <w:sz w:val="32"/>
          <w:szCs w:val="32"/>
          <w:lang w:val="en-US" w:eastAsia="zh-CN"/>
        </w:rPr>
        <w:t>8.75</w:t>
      </w:r>
      <w:r>
        <w:rPr>
          <w:rFonts w:hint="eastAsia" w:ascii="仿宋_GB2312" w:hAnsi="仿宋_GB2312" w:eastAsia="仿宋_GB2312" w:cs="仿宋_GB2312"/>
          <w:color w:val="auto"/>
          <w:sz w:val="32"/>
          <w:szCs w:val="32"/>
        </w:rPr>
        <w:t>万元，增长</w:t>
      </w:r>
      <w:r>
        <w:rPr>
          <w:rFonts w:hint="eastAsia" w:ascii="仿宋_GB2312" w:hAnsi="仿宋_GB2312" w:eastAsia="仿宋_GB2312" w:cs="仿宋_GB2312"/>
          <w:color w:val="auto"/>
          <w:sz w:val="32"/>
          <w:szCs w:val="32"/>
          <w:lang w:val="en-US" w:eastAsia="zh-CN"/>
        </w:rPr>
        <w:t>4.04</w:t>
      </w:r>
      <w:r>
        <w:rPr>
          <w:rFonts w:hint="eastAsia" w:ascii="仿宋_GB2312" w:hAnsi="仿宋_GB2312" w:eastAsia="仿宋_GB2312" w:cs="仿宋_GB2312"/>
          <w:color w:val="auto"/>
          <w:sz w:val="32"/>
          <w:szCs w:val="32"/>
        </w:rPr>
        <w:t>%，主要是</w:t>
      </w:r>
      <w:r>
        <w:rPr>
          <w:rFonts w:hint="eastAsia" w:ascii="仿宋_GB2312" w:hAnsi="仿宋_GB2312" w:eastAsia="仿宋_GB2312" w:cs="仿宋_GB2312"/>
          <w:color w:val="auto"/>
          <w:sz w:val="32"/>
          <w:szCs w:val="32"/>
          <w:lang w:eastAsia="zh-CN"/>
        </w:rPr>
        <w:t>机关运行成本增加</w:t>
      </w:r>
      <w:r>
        <w:rPr>
          <w:rFonts w:hint="eastAsia" w:ascii="仿宋_GB2312" w:hAnsi="仿宋_GB2312" w:eastAsia="仿宋_GB2312" w:cs="仿宋_GB2312"/>
          <w:color w:val="auto"/>
          <w:sz w:val="32"/>
          <w:szCs w:val="32"/>
          <w:lang w:val="en-US" w:eastAsia="zh-CN"/>
        </w:rPr>
        <w:t>及机构改革人员变动</w:t>
      </w:r>
      <w:r>
        <w:rPr>
          <w:rFonts w:hint="eastAsia" w:ascii="仿宋_GB2312" w:hAnsi="仿宋_GB2312" w:eastAsia="仿宋_GB2312" w:cs="仿宋_GB2312"/>
          <w:color w:val="auto"/>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本部门2019年度政府采购支出总额</w:t>
      </w:r>
      <w:r>
        <w:rPr>
          <w:rFonts w:hint="eastAsia" w:ascii="仿宋_GB2312" w:eastAsia="仿宋_GB2312" w:cs="DengXian-Regular"/>
          <w:sz w:val="32"/>
          <w:szCs w:val="32"/>
          <w:lang w:val="en-US" w:eastAsia="zh-CN"/>
        </w:rPr>
        <w:t>4066.76</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3669.06</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276.5</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lang w:val="en-US" w:eastAsia="zh-CN"/>
        </w:rPr>
        <w:t>121.2</w:t>
      </w:r>
      <w:r>
        <w:rPr>
          <w:rFonts w:ascii="仿宋_GB2312" w:hAnsi="仿宋_GB2312" w:eastAsia="仿宋_GB2312" w:cs="仿宋_GB2312"/>
          <w:color w:val="000000"/>
          <w:kern w:val="0"/>
          <w:sz w:val="32"/>
          <w:szCs w:val="32"/>
        </w:rPr>
        <w:t>万元。授予中小企业合同金</w:t>
      </w:r>
      <w:r>
        <w:rPr>
          <w:rFonts w:hint="eastAsia" w:ascii="仿宋_GB2312" w:eastAsia="仿宋_GB2312" w:cs="DengXian-Regular"/>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eastAsia="仿宋_GB2312" w:cs="DengXian-Regular"/>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eastAsia="楷体_GB2312" w:cs="DengXian-Bold"/>
          <w:b/>
          <w:bCs/>
          <w:sz w:val="32"/>
          <w:szCs w:val="32"/>
        </w:rPr>
      </w:pPr>
      <w:r>
        <w:rPr>
          <w:rFonts w:hint="eastAsia" w:ascii="仿宋_GB2312" w:eastAsia="仿宋_GB2312" w:cs="DengXian-Regular"/>
          <w:sz w:val="32"/>
          <w:szCs w:val="32"/>
        </w:rPr>
        <w:t>截至2019年12月31日，本部门共有车辆</w:t>
      </w:r>
      <w:r>
        <w:rPr>
          <w:rFonts w:hint="eastAsia" w:ascii="仿宋_GB2312" w:eastAsia="仿宋_GB2312" w:cs="DengXian-Regular"/>
          <w:sz w:val="32"/>
          <w:szCs w:val="32"/>
          <w:lang w:val="en-US" w:eastAsia="zh-CN"/>
        </w:rPr>
        <w:t>19</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比较</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16</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原畜牧兽医局、产业化办公室、农村工作部车辆</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比较</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bookmarkStart w:id="1" w:name="_GoBack"/>
      <w:bookmarkEnd w:id="1"/>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w:t>
      </w:r>
      <w:r>
        <w:rPr>
          <w:rFonts w:hint="eastAsia" w:ascii="仿宋_GB2312" w:eastAsia="仿宋_GB2312" w:cs="DengXian-Regular"/>
          <w:sz w:val="32"/>
          <w:szCs w:val="32"/>
          <w:lang w:eastAsia="zh-CN"/>
        </w:rPr>
        <w:t>较</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 本部门2019年度</w:t>
      </w:r>
      <w:r>
        <w:rPr>
          <w:rFonts w:hint="eastAsia" w:ascii="仿宋_GB2312" w:eastAsia="仿宋_GB2312" w:cs="DengXian-Regular"/>
          <w:sz w:val="32"/>
          <w:szCs w:val="32"/>
          <w:lang w:eastAsia="zh-CN"/>
        </w:rPr>
        <w:t>国有资本经营预算财政拨款支出决算表</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公开</w:t>
      </w:r>
      <w:r>
        <w:rPr>
          <w:rFonts w:hint="eastAsia" w:ascii="仿宋_GB2312" w:eastAsia="仿宋_GB2312" w:cs="DengXian-Regular"/>
          <w:sz w:val="32"/>
          <w:szCs w:val="32"/>
          <w:lang w:val="en-US" w:eastAsia="zh-CN"/>
        </w:rPr>
        <w:t>09</w:t>
      </w:r>
      <w:r>
        <w:rPr>
          <w:rFonts w:hint="eastAsia" w:ascii="仿宋_GB2312" w:eastAsia="仿宋_GB2312" w:cs="DengXian-Regular"/>
          <w:sz w:val="32"/>
          <w:szCs w:val="32"/>
        </w:rPr>
        <w:t>表以空表列示。</w:t>
      </w:r>
    </w:p>
    <w:p>
      <w:pPr>
        <w:adjustRightInd w:val="0"/>
        <w:snapToGrid w:val="0"/>
        <w:spacing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 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相关名词解释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line="560" w:lineRule="exact"/>
        <w:ind w:firstLine="643" w:firstLineChars="200"/>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line="1200" w:lineRule="exact"/>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第四部分</w:t>
      </w:r>
    </w:p>
    <w:p>
      <w:pPr>
        <w:widowControl/>
        <w:spacing w:line="1200" w:lineRule="exact"/>
        <w:jc w:val="center"/>
        <w:rPr>
          <w:color w:val="000000" w:themeColor="text1"/>
          <w:sz w:val="72"/>
          <w:szCs w:val="96"/>
        </w:rPr>
      </w:pPr>
      <w:r>
        <w:rPr>
          <w:rFonts w:hint="eastAsia" w:hAnsi="宋体" w:asciiTheme="minorEastAsia" w:eastAsiaTheme="minorEastAsia"/>
          <w:color w:val="000000" w:themeColor="text1"/>
          <w:sz w:val="72"/>
          <w:szCs w:val="96"/>
        </w:rPr>
        <w:t>2019年度部门决算报表</w:t>
      </w: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widowControl/>
        <w:spacing w:after="0" w:line="240" w:lineRule="auto"/>
        <w:jc w:val="left"/>
        <w:rPr>
          <w:rFonts w:ascii="宋体" w:hAnsi="宋体" w:cs="ArialUnicodeMS"/>
          <w:color w:val="000000"/>
          <w:kern w:val="0"/>
        </w:rPr>
      </w:pPr>
    </w:p>
    <w:p>
      <w:pPr>
        <w:widowControl/>
        <w:spacing w:line="240" w:lineRule="auto"/>
        <w:rPr>
          <w:rFonts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r>
        <w:rPr>
          <w:rFonts w:hAnsi="宋体" w:asciiTheme="minorEastAsia" w:eastAsiaTheme="minorEastAsia"/>
          <w:color w:val="000000" w:themeColor="text1"/>
          <w:szCs w:val="21"/>
        </w:rPr>
        <w:object>
          <v:shape id="_x0000_i1025" o:spt="75" type="#_x0000_t75" style="height:627pt;width:484.3pt;" o:ole="t" filled="f" o:preferrelative="t" stroked="f" coordsize="21600,21600">
            <v:path/>
            <v:fill on="f" focussize="0,0"/>
            <v:stroke on="f"/>
            <v:imagedata r:id="rId5" o:title=""/>
            <o:lock v:ext="edit" aspectratio="t"/>
            <w10:wrap type="none"/>
            <w10:anchorlock/>
          </v:shape>
          <o:OLEObject Type="Embed" ProgID="Excel.Sheet.8" ShapeID="_x0000_i1025" DrawAspect="Content" ObjectID="_1468075725" r:id="rId4">
            <o:LockedField>false</o:LockedField>
          </o:OLEObject>
        </w:object>
      </w:r>
      <w:r>
        <w:rPr>
          <w:rFonts w:hAnsi="宋体" w:asciiTheme="minorEastAsia" w:eastAsiaTheme="minorEastAsia"/>
          <w:color w:val="000000" w:themeColor="text1"/>
          <w:szCs w:val="21"/>
        </w:rPr>
        <w:object>
          <v:shape id="_x0000_i1026" o:spt="75" type="#_x0000_t75" style="height:607.95pt;width:479.25pt;" o:ole="t" filled="f" o:preferrelative="t" stroked="f" coordsize="21600,21600">
            <v:path/>
            <v:fill on="f" focussize="0,0"/>
            <v:stroke on="f"/>
            <v:imagedata r:id="rId7" o:title=""/>
            <o:lock v:ext="edit" aspectratio="t"/>
            <w10:wrap type="none"/>
            <w10:anchorlock/>
          </v:shape>
          <o:OLEObject Type="Embed" ProgID="Excel.Sheet.8" ShapeID="_x0000_i1026" DrawAspect="Content" ObjectID="_1468075726" r:id="rId6">
            <o:LockedField>false</o:LockedField>
          </o:OLEObject>
        </w:object>
      </w:r>
    </w:p>
    <w:p>
      <w:pPr>
        <w:widowControl/>
        <w:spacing w:line="240" w:lineRule="auto"/>
        <w:rPr>
          <w:rFonts w:hint="eastAsia" w:hAnsi="宋体" w:asciiTheme="minorEastAsia" w:eastAsiaTheme="minorEastAsia"/>
          <w:color w:val="000000" w:themeColor="text1"/>
          <w:szCs w:val="21"/>
        </w:rPr>
      </w:pPr>
      <w:r>
        <w:rPr>
          <w:rFonts w:hAnsi="宋体" w:asciiTheme="minorEastAsia" w:eastAsiaTheme="minorEastAsia"/>
          <w:color w:val="000000" w:themeColor="text1"/>
          <w:szCs w:val="21"/>
        </w:rPr>
        <w:object>
          <v:shape id="_x0000_i1027" o:spt="75" type="#_x0000_t75" style="height:577.5pt;width:486pt;" o:ole="t" filled="f" o:preferrelative="t" stroked="f" coordsize="21600,21600">
            <v:path/>
            <v:fill on="f" focussize="0,0"/>
            <v:stroke on="f"/>
            <v:imagedata r:id="rId9" o:title=""/>
            <o:lock v:ext="edit" aspectratio="t"/>
            <w10:wrap type="none"/>
            <w10:anchorlock/>
          </v:shape>
          <o:OLEObject Type="Embed" ProgID="Excel.Sheet.8" ShapeID="_x0000_i1027" DrawAspect="Content" ObjectID="_1468075727" r:id="rId8">
            <o:LockedField>false</o:LockedField>
          </o:OLEObject>
        </w:object>
      </w: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r>
        <w:rPr>
          <w:rFonts w:hAnsi="宋体" w:asciiTheme="minorEastAsia" w:eastAsiaTheme="minorEastAsia"/>
          <w:color w:val="000000" w:themeColor="text1"/>
          <w:szCs w:val="21"/>
        </w:rPr>
        <w:object>
          <v:shape id="_x0000_i1028" o:spt="75" type="#_x0000_t75" style="height:635.95pt;width:479.75pt;" o:ole="t" filled="f" o:preferrelative="t" stroked="f" coordsize="21600,21600">
            <v:path/>
            <v:fill on="f" focussize="0,0"/>
            <v:stroke on="f"/>
            <v:imagedata r:id="rId11" o:title=""/>
            <o:lock v:ext="edit" aspectratio="t"/>
            <w10:wrap type="none"/>
            <w10:anchorlock/>
          </v:shape>
          <o:OLEObject Type="Embed" ProgID="Excel.Sheet.8" ShapeID="_x0000_i1028" DrawAspect="Content" ObjectID="_1468075728" r:id="rId10">
            <o:LockedField>false</o:LockedField>
          </o:OLEObject>
        </w:object>
      </w:r>
      <w:r>
        <w:rPr>
          <w:rFonts w:hAnsi="宋体" w:asciiTheme="minorEastAsia" w:eastAsiaTheme="minorEastAsia"/>
          <w:color w:val="000000" w:themeColor="text1"/>
          <w:szCs w:val="21"/>
        </w:rPr>
        <w:object>
          <v:shape id="_x0000_i1029" o:spt="75" type="#_x0000_t75" style="height:503.2pt;width:485.8pt;" o:ole="t" filled="f" o:preferrelative="t" stroked="f" coordsize="21600,21600">
            <v:path/>
            <v:fill on="f" focussize="0,0"/>
            <v:stroke on="f"/>
            <v:imagedata r:id="rId13" o:title=""/>
            <o:lock v:ext="edit" aspectratio="t"/>
            <w10:wrap type="none"/>
            <w10:anchorlock/>
          </v:shape>
          <o:OLEObject Type="Embed" ProgID="Excel.Sheet.8" ShapeID="_x0000_i1029" DrawAspect="Content" ObjectID="_1468075729" r:id="rId12">
            <o:LockedField>false</o:LockedField>
          </o:OLEObject>
        </w:object>
      </w: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r>
        <w:rPr>
          <w:rFonts w:hAnsi="宋体" w:asciiTheme="minorEastAsia" w:eastAsiaTheme="minorEastAsia"/>
          <w:color w:val="000000" w:themeColor="text1"/>
          <w:szCs w:val="21"/>
        </w:rPr>
        <w:object>
          <v:shape id="_x0000_i1030" o:spt="75" type="#_x0000_t75" style="height:651.7pt;width:472.9pt;" o:ole="t" filled="f" o:preferrelative="t" stroked="f" coordsize="21600,21600">
            <v:path/>
            <v:fill on="f" focussize="0,0"/>
            <v:stroke on="f"/>
            <v:imagedata r:id="rId15" o:title=""/>
            <o:lock v:ext="edit" aspectratio="t"/>
            <w10:wrap type="none"/>
            <w10:anchorlock/>
          </v:shape>
          <o:OLEObject Type="Embed" ProgID="Excel.Sheet.8" ShapeID="_x0000_i1030" DrawAspect="Content" ObjectID="_1468075730" r:id="rId14">
            <o:LockedField>false</o:LockedField>
          </o:OLEObject>
        </w:object>
      </w:r>
      <w:r>
        <w:rPr>
          <w:rFonts w:hAnsi="宋体" w:asciiTheme="minorEastAsia" w:eastAsiaTheme="minorEastAsia"/>
          <w:color w:val="000000" w:themeColor="text1"/>
          <w:szCs w:val="21"/>
        </w:rPr>
        <w:object>
          <v:shape id="_x0000_i1031" o:spt="75" type="#_x0000_t75" style="height:199.25pt;width:485.25pt;" o:ole="t" filled="f" o:preferrelative="t" stroked="f" coordsize="21600,21600">
            <v:path/>
            <v:fill on="f" focussize="0,0"/>
            <v:stroke on="f"/>
            <v:imagedata r:id="rId17" o:title=""/>
            <o:lock v:ext="edit" aspectratio="t"/>
            <w10:wrap type="none"/>
            <w10:anchorlock/>
          </v:shape>
          <o:OLEObject Type="Embed" ProgID="Excel.Sheet.8" ShapeID="_x0000_i1031" DrawAspect="Content" ObjectID="_1468075731" r:id="rId16">
            <o:LockedField>false</o:LockedField>
          </o:OLEObject>
        </w:object>
      </w: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r>
        <w:rPr>
          <w:rFonts w:hAnsi="宋体" w:asciiTheme="minorEastAsia" w:eastAsiaTheme="minorEastAsia"/>
          <w:color w:val="000000" w:themeColor="text1"/>
          <w:szCs w:val="21"/>
        </w:rPr>
        <w:object>
          <v:shape id="_x0000_i1032" o:spt="75" alt="" type="#_x0000_t75" style="height:234.8pt;width:486pt;" o:ole="t" filled="f" o:preferrelative="t" stroked="f" coordsize="21600,21600">
            <v:path/>
            <v:fill on="f" focussize="0,0"/>
            <v:stroke on="f"/>
            <v:imagedata r:id="rId19" o:title=""/>
            <o:lock v:ext="edit" aspectratio="t"/>
            <w10:wrap type="none"/>
            <w10:anchorlock/>
          </v:shape>
          <o:OLEObject Type="Embed" ProgID="Excel.Sheet.8" ShapeID="_x0000_i1032" DrawAspect="Content" ObjectID="_1468075732" r:id="rId18">
            <o:LockedField>false</o:LockedField>
          </o:OLEObject>
        </w:object>
      </w: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p>
    <w:p>
      <w:pPr>
        <w:widowControl/>
        <w:spacing w:line="240" w:lineRule="auto"/>
        <w:rPr>
          <w:rFonts w:hint="eastAsia" w:hAnsi="宋体" w:asciiTheme="minorEastAsia" w:eastAsiaTheme="minorEastAsia"/>
          <w:color w:val="000000" w:themeColor="text1"/>
          <w:szCs w:val="21"/>
        </w:rPr>
      </w:pPr>
      <w:r>
        <w:rPr>
          <w:rFonts w:hAnsi="宋体" w:asciiTheme="minorEastAsia" w:eastAsiaTheme="minorEastAsia"/>
          <w:color w:val="000000" w:themeColor="text1"/>
          <w:szCs w:val="21"/>
        </w:rPr>
        <w:object>
          <v:shape id="_x0000_i1033" o:spt="75" type="#_x0000_t75" style="height:230pt;width:483.65pt;" o:ole="t" filled="f" o:preferrelative="t" stroked="f" coordsize="21600,21600">
            <v:path/>
            <v:fill on="f" focussize="0,0"/>
            <v:stroke on="f"/>
            <v:imagedata r:id="rId21" o:title=""/>
            <o:lock v:ext="edit" aspectratio="t"/>
            <w10:wrap type="none"/>
            <w10:anchorlock/>
          </v:shape>
          <o:OLEObject Type="Embed" ProgID="Excel.Sheet.8" ShapeID="_x0000_i1033" DrawAspect="Content" ObjectID="_1468075733" r:id="rId20">
            <o:LockedField>false</o:LockedField>
          </o:OLEObject>
        </w:object>
      </w:r>
    </w:p>
    <w:sectPr>
      <w:pgSz w:w="11906" w:h="16838"/>
      <w:pgMar w:top="2098" w:right="1474" w:bottom="1984" w:left="158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A4BB2D5-9658-48C5-A346-66C0E09C9EB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B8B0E6C-346B-4A8B-A933-BA47C74E3623}"/>
  </w:font>
  <w:font w:name="Cambria">
    <w:panose1 w:val="02040503050406030204"/>
    <w:charset w:val="00"/>
    <w:family w:val="roman"/>
    <w:pitch w:val="default"/>
    <w:sig w:usb0="E00002FF" w:usb1="400004FF" w:usb2="00000000" w:usb3="00000000" w:csb0="2000019F" w:csb1="00000000"/>
    <w:embedRegular r:id="rId3" w:fontKey="{08CADACD-B887-4022-81B8-74B4F1604706}"/>
  </w:font>
  <w:font w:name="楷体">
    <w:panose1 w:val="02010609060101010101"/>
    <w:charset w:val="86"/>
    <w:family w:val="modern"/>
    <w:pitch w:val="default"/>
    <w:sig w:usb0="800002BF" w:usb1="38CF7CFA" w:usb2="00000016" w:usb3="00000000" w:csb0="00040001" w:csb1="00000000"/>
    <w:embedRegular r:id="rId4" w:fontKey="{02F7DF1C-3B4A-472C-A4EB-FBDED5C8B74C}"/>
  </w:font>
  <w:font w:name="仿宋_GB2312">
    <w:panose1 w:val="02010609030101010101"/>
    <w:charset w:val="86"/>
    <w:family w:val="modern"/>
    <w:pitch w:val="default"/>
    <w:sig w:usb0="00000000" w:usb1="00000000" w:usb2="00000000" w:usb3="00000000" w:csb0="00000000" w:csb1="00000000"/>
    <w:embedRegular r:id="rId5" w:fontKey="{F96EB9C8-92F9-4C22-8DE3-B1CA5C189713}"/>
  </w:font>
  <w:font w:name="ArialUnicodeMS">
    <w:altName w:val="Malgun Gothic"/>
    <w:panose1 w:val="00000000000000000000"/>
    <w:charset w:val="81"/>
    <w:family w:val="auto"/>
    <w:pitch w:val="default"/>
    <w:sig w:usb0="00000000" w:usb1="00000000" w:usb2="00000010" w:usb3="00000000" w:csb0="00080001" w:csb1="00000000"/>
    <w:embedRegular r:id="rId6" w:fontKey="{436C962E-5DC7-445E-B474-1A8114E030B4}"/>
  </w:font>
  <w:font w:name="MS-UIGothic,Bold">
    <w:altName w:val="Malgun Gothic"/>
    <w:panose1 w:val="00000000000000000000"/>
    <w:charset w:val="81"/>
    <w:family w:val="auto"/>
    <w:pitch w:val="default"/>
    <w:sig w:usb0="00000000" w:usb1="00000000" w:usb2="00000010" w:usb3="00000000" w:csb0="00080000" w:csb1="00000000"/>
    <w:embedRegular r:id="rId7" w:fontKey="{0CBA40F9-F360-4FCD-B193-CA437E531FDE}"/>
  </w:font>
  <w:font w:name="DengXian-Regular">
    <w:altName w:val="宋体"/>
    <w:panose1 w:val="00000000000000000000"/>
    <w:charset w:val="86"/>
    <w:family w:val="auto"/>
    <w:pitch w:val="default"/>
    <w:sig w:usb0="00000000" w:usb1="00000000" w:usb2="00000010" w:usb3="00000000" w:csb0="00040001" w:csb1="00000000"/>
    <w:embedRegular r:id="rId8" w:fontKey="{06B55B79-E503-4D37-9689-415B5E0F04B8}"/>
  </w:font>
  <w:font w:name="楷体_GB2312">
    <w:panose1 w:val="02010609030101010101"/>
    <w:charset w:val="86"/>
    <w:family w:val="modern"/>
    <w:pitch w:val="default"/>
    <w:sig w:usb0="00000000" w:usb1="00000000" w:usb2="00000000" w:usb3="00000000" w:csb0="00000000" w:csb1="00000000"/>
    <w:embedRegular r:id="rId9" w:fontKey="{BB101AF5-CCE5-41FD-B66B-CC00E75C5CFD}"/>
  </w:font>
  <w:font w:name="DengXian-Bold">
    <w:altName w:val="宋体"/>
    <w:panose1 w:val="00000000000000000000"/>
    <w:charset w:val="86"/>
    <w:family w:val="auto"/>
    <w:pitch w:val="default"/>
    <w:sig w:usb0="00000000" w:usb1="00000000" w:usb2="00000010" w:usb3="00000000" w:csb0="00040001" w:csb1="00000000"/>
    <w:embedRegular r:id="rId10" w:fontKey="{33E15FBF-233A-4FF8-87BC-E78A116FA040}"/>
  </w:font>
  <w:font w:name="方正小标宋_GBK">
    <w:altName w:val="微软雅黑"/>
    <w:panose1 w:val="00000000000000000000"/>
    <w:charset w:val="00"/>
    <w:family w:val="auto"/>
    <w:pitch w:val="default"/>
    <w:sig w:usb0="00000000" w:usb1="00000000" w:usb2="00000000" w:usb3="00000000" w:csb0="00000000" w:csb1="00000000"/>
    <w:embedRegular r:id="rId11" w:fontKey="{79B710A6-F30C-4AA2-966A-19F7919F4A15}"/>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 w:name="仿宋_GB2312">
    <w:panose1 w:val="02010609030101010101"/>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0FAF"/>
    <w:rsid w:val="00022474"/>
    <w:rsid w:val="00024E7F"/>
    <w:rsid w:val="000475A0"/>
    <w:rsid w:val="00067693"/>
    <w:rsid w:val="00071A78"/>
    <w:rsid w:val="000838C3"/>
    <w:rsid w:val="000B2446"/>
    <w:rsid w:val="000B3E55"/>
    <w:rsid w:val="000D7C65"/>
    <w:rsid w:val="000E2F81"/>
    <w:rsid w:val="00101F8D"/>
    <w:rsid w:val="0011714A"/>
    <w:rsid w:val="00117946"/>
    <w:rsid w:val="00117E2C"/>
    <w:rsid w:val="00127819"/>
    <w:rsid w:val="00140394"/>
    <w:rsid w:val="00146C47"/>
    <w:rsid w:val="00152FB8"/>
    <w:rsid w:val="00164329"/>
    <w:rsid w:val="00176658"/>
    <w:rsid w:val="0018239E"/>
    <w:rsid w:val="001B3410"/>
    <w:rsid w:val="001B7503"/>
    <w:rsid w:val="001C030D"/>
    <w:rsid w:val="001C29CA"/>
    <w:rsid w:val="001C4A84"/>
    <w:rsid w:val="001D2D07"/>
    <w:rsid w:val="001E5902"/>
    <w:rsid w:val="00213773"/>
    <w:rsid w:val="00224A73"/>
    <w:rsid w:val="00233705"/>
    <w:rsid w:val="00240FB2"/>
    <w:rsid w:val="00246D99"/>
    <w:rsid w:val="00250145"/>
    <w:rsid w:val="00257266"/>
    <w:rsid w:val="00262306"/>
    <w:rsid w:val="00275CA2"/>
    <w:rsid w:val="002A65A5"/>
    <w:rsid w:val="002C04C4"/>
    <w:rsid w:val="002D08B0"/>
    <w:rsid w:val="002D1120"/>
    <w:rsid w:val="002D1AE3"/>
    <w:rsid w:val="002F2ECE"/>
    <w:rsid w:val="00341C8F"/>
    <w:rsid w:val="00347601"/>
    <w:rsid w:val="0035463A"/>
    <w:rsid w:val="00391D9D"/>
    <w:rsid w:val="003B6C51"/>
    <w:rsid w:val="003C1413"/>
    <w:rsid w:val="003C549F"/>
    <w:rsid w:val="003D5A16"/>
    <w:rsid w:val="003E3DC2"/>
    <w:rsid w:val="003E71FD"/>
    <w:rsid w:val="003E7DB3"/>
    <w:rsid w:val="00400C87"/>
    <w:rsid w:val="0041168F"/>
    <w:rsid w:val="00414E99"/>
    <w:rsid w:val="00431175"/>
    <w:rsid w:val="004374A3"/>
    <w:rsid w:val="00470B4F"/>
    <w:rsid w:val="00472FB1"/>
    <w:rsid w:val="00493686"/>
    <w:rsid w:val="004B6E37"/>
    <w:rsid w:val="004C32BA"/>
    <w:rsid w:val="004C68EF"/>
    <w:rsid w:val="004C6F49"/>
    <w:rsid w:val="004D1845"/>
    <w:rsid w:val="004F067C"/>
    <w:rsid w:val="00575922"/>
    <w:rsid w:val="005A3C0D"/>
    <w:rsid w:val="005A6C90"/>
    <w:rsid w:val="005B37E6"/>
    <w:rsid w:val="005D77F7"/>
    <w:rsid w:val="005E369C"/>
    <w:rsid w:val="005E3FB0"/>
    <w:rsid w:val="005F4B66"/>
    <w:rsid w:val="005F5208"/>
    <w:rsid w:val="00615C31"/>
    <w:rsid w:val="00636436"/>
    <w:rsid w:val="00641318"/>
    <w:rsid w:val="0064405D"/>
    <w:rsid w:val="006575C9"/>
    <w:rsid w:val="00695557"/>
    <w:rsid w:val="006C3715"/>
    <w:rsid w:val="006D4EA7"/>
    <w:rsid w:val="0070012A"/>
    <w:rsid w:val="0070623F"/>
    <w:rsid w:val="0070664B"/>
    <w:rsid w:val="007071B8"/>
    <w:rsid w:val="0071149E"/>
    <w:rsid w:val="007155C2"/>
    <w:rsid w:val="007414DE"/>
    <w:rsid w:val="00760C0C"/>
    <w:rsid w:val="007905A9"/>
    <w:rsid w:val="007C7256"/>
    <w:rsid w:val="007D3A17"/>
    <w:rsid w:val="007E072B"/>
    <w:rsid w:val="007E5500"/>
    <w:rsid w:val="007F055B"/>
    <w:rsid w:val="00811C2F"/>
    <w:rsid w:val="00833D46"/>
    <w:rsid w:val="00836215"/>
    <w:rsid w:val="00840A97"/>
    <w:rsid w:val="00872B02"/>
    <w:rsid w:val="00873292"/>
    <w:rsid w:val="0089698A"/>
    <w:rsid w:val="008A640A"/>
    <w:rsid w:val="008C0149"/>
    <w:rsid w:val="008C5828"/>
    <w:rsid w:val="008D5DED"/>
    <w:rsid w:val="008E04D1"/>
    <w:rsid w:val="008E25CA"/>
    <w:rsid w:val="008F34FC"/>
    <w:rsid w:val="00910887"/>
    <w:rsid w:val="00944CD7"/>
    <w:rsid w:val="009504B6"/>
    <w:rsid w:val="009535A5"/>
    <w:rsid w:val="00955004"/>
    <w:rsid w:val="00961190"/>
    <w:rsid w:val="00961936"/>
    <w:rsid w:val="009831B2"/>
    <w:rsid w:val="009A1ABE"/>
    <w:rsid w:val="009A6363"/>
    <w:rsid w:val="009E21A4"/>
    <w:rsid w:val="009F22C6"/>
    <w:rsid w:val="00A07E50"/>
    <w:rsid w:val="00A12C15"/>
    <w:rsid w:val="00A15397"/>
    <w:rsid w:val="00A1756E"/>
    <w:rsid w:val="00A22FEE"/>
    <w:rsid w:val="00A35CE0"/>
    <w:rsid w:val="00A4462E"/>
    <w:rsid w:val="00A44AA4"/>
    <w:rsid w:val="00A61623"/>
    <w:rsid w:val="00A84687"/>
    <w:rsid w:val="00AA0458"/>
    <w:rsid w:val="00AB0A0E"/>
    <w:rsid w:val="00AB7C30"/>
    <w:rsid w:val="00AD3B6E"/>
    <w:rsid w:val="00AE361E"/>
    <w:rsid w:val="00AF6D31"/>
    <w:rsid w:val="00B03D1E"/>
    <w:rsid w:val="00B12037"/>
    <w:rsid w:val="00B1751F"/>
    <w:rsid w:val="00B358EF"/>
    <w:rsid w:val="00B45C11"/>
    <w:rsid w:val="00B50F96"/>
    <w:rsid w:val="00B56722"/>
    <w:rsid w:val="00B67044"/>
    <w:rsid w:val="00B74D39"/>
    <w:rsid w:val="00B76EC5"/>
    <w:rsid w:val="00B827C6"/>
    <w:rsid w:val="00B90588"/>
    <w:rsid w:val="00B91DA4"/>
    <w:rsid w:val="00B947B0"/>
    <w:rsid w:val="00BA7174"/>
    <w:rsid w:val="00BB3E41"/>
    <w:rsid w:val="00BF157A"/>
    <w:rsid w:val="00C12630"/>
    <w:rsid w:val="00C1492E"/>
    <w:rsid w:val="00C278BC"/>
    <w:rsid w:val="00C27BF7"/>
    <w:rsid w:val="00C34562"/>
    <w:rsid w:val="00C3774E"/>
    <w:rsid w:val="00C57456"/>
    <w:rsid w:val="00C65387"/>
    <w:rsid w:val="00C87FAB"/>
    <w:rsid w:val="00C91FF7"/>
    <w:rsid w:val="00C92D15"/>
    <w:rsid w:val="00C94E53"/>
    <w:rsid w:val="00C95C80"/>
    <w:rsid w:val="00CB2853"/>
    <w:rsid w:val="00CC4BD3"/>
    <w:rsid w:val="00CE3FC3"/>
    <w:rsid w:val="00CE61A8"/>
    <w:rsid w:val="00CF15AF"/>
    <w:rsid w:val="00D0048E"/>
    <w:rsid w:val="00D23E7A"/>
    <w:rsid w:val="00D56D8F"/>
    <w:rsid w:val="00D61063"/>
    <w:rsid w:val="00DB35AF"/>
    <w:rsid w:val="00DB6E42"/>
    <w:rsid w:val="00DC57C5"/>
    <w:rsid w:val="00DD72D7"/>
    <w:rsid w:val="00DF5B88"/>
    <w:rsid w:val="00E04A7D"/>
    <w:rsid w:val="00E0589E"/>
    <w:rsid w:val="00E0697F"/>
    <w:rsid w:val="00E241FA"/>
    <w:rsid w:val="00E2595E"/>
    <w:rsid w:val="00E35374"/>
    <w:rsid w:val="00E426ED"/>
    <w:rsid w:val="00E50C19"/>
    <w:rsid w:val="00E64655"/>
    <w:rsid w:val="00E73081"/>
    <w:rsid w:val="00E81541"/>
    <w:rsid w:val="00E82439"/>
    <w:rsid w:val="00E838BC"/>
    <w:rsid w:val="00E856C9"/>
    <w:rsid w:val="00EA4F68"/>
    <w:rsid w:val="00EB6A8B"/>
    <w:rsid w:val="00EC2916"/>
    <w:rsid w:val="00EC5072"/>
    <w:rsid w:val="00EC6814"/>
    <w:rsid w:val="00ED411D"/>
    <w:rsid w:val="00EF070A"/>
    <w:rsid w:val="00EF38C6"/>
    <w:rsid w:val="00F40BEB"/>
    <w:rsid w:val="00F679C7"/>
    <w:rsid w:val="00F7711A"/>
    <w:rsid w:val="00F80C72"/>
    <w:rsid w:val="00FA0D58"/>
    <w:rsid w:val="00FA1580"/>
    <w:rsid w:val="00FA56F4"/>
    <w:rsid w:val="00FB4EDA"/>
    <w:rsid w:val="00FD3BD5"/>
    <w:rsid w:val="00FE3DC8"/>
    <w:rsid w:val="00FF4331"/>
    <w:rsid w:val="013F747B"/>
    <w:rsid w:val="04073F84"/>
    <w:rsid w:val="07B92CCB"/>
    <w:rsid w:val="0B01381C"/>
    <w:rsid w:val="0B60750A"/>
    <w:rsid w:val="0BB076B0"/>
    <w:rsid w:val="0EF1344E"/>
    <w:rsid w:val="0FF368EC"/>
    <w:rsid w:val="10686488"/>
    <w:rsid w:val="10DF728A"/>
    <w:rsid w:val="11094173"/>
    <w:rsid w:val="1204067E"/>
    <w:rsid w:val="1264200E"/>
    <w:rsid w:val="14177CCF"/>
    <w:rsid w:val="141C5B77"/>
    <w:rsid w:val="14F46635"/>
    <w:rsid w:val="1700301C"/>
    <w:rsid w:val="18D8339D"/>
    <w:rsid w:val="1A21388F"/>
    <w:rsid w:val="1A570D2F"/>
    <w:rsid w:val="1AB63972"/>
    <w:rsid w:val="1B2A05B7"/>
    <w:rsid w:val="1F3E29EB"/>
    <w:rsid w:val="202F7912"/>
    <w:rsid w:val="207569C4"/>
    <w:rsid w:val="22A14E92"/>
    <w:rsid w:val="246814A7"/>
    <w:rsid w:val="264774FC"/>
    <w:rsid w:val="282B5098"/>
    <w:rsid w:val="28FB0B8D"/>
    <w:rsid w:val="2D2B7942"/>
    <w:rsid w:val="2D46481D"/>
    <w:rsid w:val="2E733B28"/>
    <w:rsid w:val="31852B5A"/>
    <w:rsid w:val="32D01238"/>
    <w:rsid w:val="387E2B4F"/>
    <w:rsid w:val="3DFC59A8"/>
    <w:rsid w:val="3ECF245E"/>
    <w:rsid w:val="3F1E2AE4"/>
    <w:rsid w:val="3FB96314"/>
    <w:rsid w:val="42207FD7"/>
    <w:rsid w:val="431F484A"/>
    <w:rsid w:val="44ED73C0"/>
    <w:rsid w:val="495247E0"/>
    <w:rsid w:val="4A5A2E7D"/>
    <w:rsid w:val="530A3956"/>
    <w:rsid w:val="53A44FAF"/>
    <w:rsid w:val="56FC0D07"/>
    <w:rsid w:val="57CF0ED0"/>
    <w:rsid w:val="591B7ADE"/>
    <w:rsid w:val="594329EC"/>
    <w:rsid w:val="59E01506"/>
    <w:rsid w:val="5AFB423C"/>
    <w:rsid w:val="5B7E5997"/>
    <w:rsid w:val="5BEE1540"/>
    <w:rsid w:val="5D7864F9"/>
    <w:rsid w:val="5DE61A5D"/>
    <w:rsid w:val="5F202E17"/>
    <w:rsid w:val="61B86870"/>
    <w:rsid w:val="63C04243"/>
    <w:rsid w:val="649C01C7"/>
    <w:rsid w:val="699A3F60"/>
    <w:rsid w:val="6BA22A5C"/>
    <w:rsid w:val="6C403B41"/>
    <w:rsid w:val="6C7E2E34"/>
    <w:rsid w:val="6CB77440"/>
    <w:rsid w:val="6E017A30"/>
    <w:rsid w:val="704323CA"/>
    <w:rsid w:val="72902E62"/>
    <w:rsid w:val="73C61104"/>
    <w:rsid w:val="753A1BF5"/>
    <w:rsid w:val="75474FD2"/>
    <w:rsid w:val="75597F1C"/>
    <w:rsid w:val="776452EA"/>
    <w:rsid w:val="776E41A6"/>
    <w:rsid w:val="7C6361AD"/>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34"/>
    <w:semiHidden/>
    <w:unhideWhenUsed/>
    <w:qFormat/>
    <w:uiPriority w:val="99"/>
    <w:rPr>
      <w:rFonts w:ascii="宋体"/>
      <w:sz w:val="18"/>
      <w:szCs w:val="18"/>
    </w:rPr>
  </w:style>
  <w:style w:type="paragraph" w:styleId="7">
    <w:name w:val="Date"/>
    <w:basedOn w:val="1"/>
    <w:next w:val="1"/>
    <w:link w:val="32"/>
    <w:semiHidden/>
    <w:unhideWhenUsed/>
    <w:qFormat/>
    <w:uiPriority w:val="99"/>
    <w:pPr>
      <w:ind w:left="100" w:leftChars="2500"/>
    </w:pPr>
  </w:style>
  <w:style w:type="paragraph" w:styleId="8">
    <w:name w:val="Balloon Text"/>
    <w:basedOn w:val="1"/>
    <w:link w:val="20"/>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10"/>
    <w:qFormat/>
    <w:uiPriority w:val="99"/>
    <w:rPr>
      <w:sz w:val="18"/>
      <w:szCs w:val="18"/>
    </w:rPr>
  </w:style>
  <w:style w:type="character" w:customStyle="1" w:styleId="17">
    <w:name w:val="页脚 Char"/>
    <w:basedOn w:val="15"/>
    <w:link w:val="9"/>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8"/>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1"/>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7"/>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 w:type="character" w:customStyle="1" w:styleId="34">
    <w:name w:val="文档结构图 Char"/>
    <w:basedOn w:val="15"/>
    <w:link w:val="6"/>
    <w:semiHidden/>
    <w:qFormat/>
    <w:uiPriority w:val="99"/>
    <w:rPr>
      <w:rFonts w:ascii="宋体"/>
      <w:kern w:val="2"/>
      <w:sz w:val="18"/>
      <w:szCs w:val="18"/>
    </w:rPr>
  </w:style>
  <w:style w:type="character" w:customStyle="1" w:styleId="35">
    <w:name w:val="font11"/>
    <w:basedOn w:val="15"/>
    <w:qFormat/>
    <w:uiPriority w:val="0"/>
    <w:rPr>
      <w:rFonts w:hint="eastAsia" w:ascii="宋体" w:hAnsi="宋体" w:eastAsia="宋体" w:cs="宋体"/>
      <w:color w:val="000000"/>
      <w:sz w:val="16"/>
      <w:szCs w:val="16"/>
      <w:u w:val="none"/>
    </w:rPr>
  </w:style>
  <w:style w:type="character" w:customStyle="1" w:styleId="36">
    <w:name w:val="font21"/>
    <w:basedOn w:val="15"/>
    <w:qFormat/>
    <w:uiPriority w:val="0"/>
    <w:rPr>
      <w:rFonts w:ascii="Calibri" w:hAnsi="Calibri" w:cs="Calibri"/>
      <w:color w:val="000000"/>
      <w:sz w:val="16"/>
      <w:szCs w:val="16"/>
      <w:u w:val="none"/>
    </w:rPr>
  </w:style>
  <w:style w:type="character" w:customStyle="1" w:styleId="37">
    <w:name w:val="font61"/>
    <w:basedOn w:val="15"/>
    <w:qFormat/>
    <w:uiPriority w:val="0"/>
    <w:rPr>
      <w:rFonts w:hint="eastAsia" w:ascii="宋体" w:hAnsi="宋体" w:eastAsia="宋体" w:cs="宋体"/>
      <w:color w:val="000000"/>
      <w:sz w:val="16"/>
      <w:szCs w:val="16"/>
      <w:u w:val="none"/>
    </w:rPr>
  </w:style>
  <w:style w:type="character" w:customStyle="1" w:styleId="38">
    <w:name w:val="font51"/>
    <w:basedOn w:val="15"/>
    <w:qFormat/>
    <w:uiPriority w:val="0"/>
    <w:rPr>
      <w:rFonts w:ascii="Calibri" w:hAnsi="Calibri" w:cs="Calibri"/>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72AE38-3B40-4C01-9CCD-2CA0EFF860E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1145</Words>
  <Characters>6533</Characters>
  <Lines>54</Lines>
  <Paragraphs>15</Paragraphs>
  <TotalTime>17</TotalTime>
  <ScaleCrop>false</ScaleCrop>
  <LinksUpToDate>false</LinksUpToDate>
  <CharactersWithSpaces>7663</CharactersWithSpaces>
  <Application>WPS Office_11.1.0.10214_F1E327BC-269C-435d-A152-05C5408002CA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Administrator</cp:lastModifiedBy>
  <cp:lastPrinted>2020-10-10T05:30:00Z</cp:lastPrinted>
  <dcterms:modified xsi:type="dcterms:W3CDTF">2021-05-26T16:45:35Z</dcterms:modified>
  <dc:subject>石家庄市xxx部门</dc:subject>
  <dc:title>2017年度部门决算</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2052-11.1.0.10214</vt:lpwstr>
  </property>
  <property fmtid="{D5CDD505-2E9C-101B-9397-08002B2CF9AE}" pid="3" name="ICV">
    <vt:lpwstr>3D41FC556286434BBE2C6258BAEFD857</vt:lpwstr>
  </property>
</Properties>
</file>